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2FFF693D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 w:rsidR="0070615A">
        <w:rPr>
          <w:lang w:val="en-US"/>
        </w:rPr>
        <w:t>#92</w:t>
      </w:r>
      <w:r w:rsidR="007A5B38" w:rsidRPr="000C5734">
        <w:rPr>
          <w:lang w:val="en-US"/>
        </w:rPr>
        <w:tab/>
      </w:r>
      <w:r w:rsidR="00B26190" w:rsidRPr="00B26190">
        <w:rPr>
          <w:lang w:val="en-US"/>
        </w:rPr>
        <w:t>R1-1802753</w:t>
      </w:r>
    </w:p>
    <w:p w14:paraId="161050DA" w14:textId="4C200E18" w:rsidR="007A5B38" w:rsidRPr="007679B0" w:rsidRDefault="0070615A" w:rsidP="007A5B38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="000C5734"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C16FE9">
        <w:rPr>
          <w:lang w:val="en-US"/>
        </w:rPr>
        <w:t xml:space="preserve">February </w:t>
      </w:r>
      <w:r>
        <w:rPr>
          <w:lang w:val="en-US"/>
        </w:rPr>
        <w:t xml:space="preserve">– </w:t>
      </w:r>
      <w:r w:rsidR="00C16FE9">
        <w:rPr>
          <w:lang w:val="en-US"/>
        </w:rPr>
        <w:t>2</w:t>
      </w:r>
      <w:r w:rsidR="00C16FE9" w:rsidRPr="00C16FE9">
        <w:rPr>
          <w:vertAlign w:val="superscript"/>
          <w:lang w:val="en-US"/>
        </w:rPr>
        <w:t>nd</w:t>
      </w:r>
      <w:r w:rsidR="00C16FE9">
        <w:rPr>
          <w:lang w:val="en-US"/>
        </w:rPr>
        <w:t xml:space="preserve"> March</w:t>
      </w:r>
      <w:r w:rsidR="000C5734" w:rsidRPr="000C5734">
        <w:rPr>
          <w:lang w:val="en-US"/>
        </w:rPr>
        <w:t>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27D6B5D9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51369">
        <w:t>Remaining issues on CSI-RS</w:t>
      </w:r>
    </w:p>
    <w:p w14:paraId="2D554DE3" w14:textId="45AF20C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B26190">
        <w:t>7.</w:t>
      </w:r>
      <w:r w:rsidR="00B26190" w:rsidRPr="00B26190">
        <w:t>1.2.3.2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449C1BD4" w:rsidR="00BF7642" w:rsidRPr="00E9149C" w:rsidRDefault="0070615A" w:rsidP="00BF7642">
      <w:pPr>
        <w:pStyle w:val="BodyText"/>
      </w:pPr>
      <w:r>
        <w:t xml:space="preserve">In RAN1 </w:t>
      </w:r>
      <w:proofErr w:type="spellStart"/>
      <w:r>
        <w:t>AdHoc</w:t>
      </w:r>
      <w:proofErr w:type="spellEnd"/>
      <w:r>
        <w:t xml:space="preserve"> 1801</w:t>
      </w:r>
      <w:r w:rsidR="00BF7642">
        <w:t xml:space="preserve">, the following </w:t>
      </w:r>
      <w:r w:rsidR="00D51369">
        <w:t>working assumption</w:t>
      </w:r>
      <w:r w:rsidR="00BF7642">
        <w:t xml:space="preserve"> </w:t>
      </w:r>
      <w:r w:rsidR="00A15BC9">
        <w:t xml:space="preserve">was </w:t>
      </w:r>
      <w:r w:rsidR="00BF7642">
        <w:t>made:</w:t>
      </w:r>
    </w:p>
    <w:p w14:paraId="4C3FF875" w14:textId="77777777" w:rsidR="00BF7642" w:rsidRDefault="00BF7642" w:rsidP="002611E7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53A41A3" wp14:editId="7D7E2855">
                <wp:extent cx="5943600" cy="3613709"/>
                <wp:effectExtent l="0" t="0" r="12700" b="2540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6137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D509B2" w14:textId="77777777" w:rsidR="00C133E1" w:rsidRPr="001325F0" w:rsidRDefault="00C133E1" w:rsidP="00D51369">
                            <w:pPr>
                              <w:rPr>
                                <w:lang w:val="en-US" w:eastAsia="x-none"/>
                              </w:rPr>
                            </w:pPr>
                            <w:r w:rsidRPr="001325F0">
                              <w:rPr>
                                <w:highlight w:val="darkYellow"/>
                                <w:lang w:val="en-US" w:eastAsia="x-none"/>
                              </w:rPr>
                              <w:t>Working Assumption</w:t>
                            </w:r>
                          </w:p>
                          <w:p w14:paraId="29E19854" w14:textId="77777777" w:rsidR="00C133E1" w:rsidRPr="00AA366A" w:rsidRDefault="00C133E1" w:rsidP="00D51369">
                            <w:pPr>
                              <w:rPr>
                                <w:lang w:val="en-US" w:eastAsia="x-none"/>
                              </w:rPr>
                            </w:pPr>
                            <w:r w:rsidRPr="00AA366A">
                              <w:rPr>
                                <w:lang w:val="en-US" w:eastAsia="x-none"/>
                              </w:rPr>
                              <w:t xml:space="preserve">Agree to the following text for TS.38.211 with the understanding </w:t>
                            </w:r>
                            <w:r>
                              <w:rPr>
                                <w:lang w:val="en-US" w:eastAsia="x-none"/>
                              </w:rPr>
                              <w:t xml:space="preserve">that </w:t>
                            </w:r>
                            <w:r w:rsidRPr="00AA366A">
                              <w:rPr>
                                <w:lang w:val="en-US" w:eastAsia="x-none"/>
                              </w:rPr>
                              <w:t>the 1 port rate=1/2 case needs to be checked. If there is an issue with the working assumption for 1 port rate=1/2, technical details will be modified.</w:t>
                            </w:r>
                          </w:p>
                          <w:p w14:paraId="4E9D9DDD" w14:textId="77777777" w:rsidR="00C133E1" w:rsidRPr="00A54277" w:rsidRDefault="00C133E1" w:rsidP="00D51369">
                            <w:pPr>
                              <w:pStyle w:val="BodyText"/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A54277">
                              <w:rPr>
                                <w:rFonts w:ascii="Arial" w:hAnsi="Arial" w:cs="Arial"/>
                              </w:rPr>
                              <w:t>7.4.1.5.3</w:t>
                            </w:r>
                            <w:r w:rsidRPr="00A54277">
                              <w:rPr>
                                <w:rFonts w:ascii="Arial" w:hAnsi="Arial" w:cs="Arial"/>
                              </w:rPr>
                              <w:tab/>
                              <w:t>Mapping to physical resources</w:t>
                            </w:r>
                          </w:p>
                          <w:p w14:paraId="0FBE0ED7" w14:textId="77777777" w:rsidR="00C133E1" w:rsidRDefault="00C133E1" w:rsidP="00D51369">
                            <w:pPr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071D86">
                              <w:t xml:space="preserve">For each CSI-RS component configured, the UE shall assume the sequence </w:t>
                            </w:r>
                            <w:r w:rsidRPr="00760E5F">
                              <w:rPr>
                                <w:color w:val="FF0000"/>
                                <w:position w:val="-10"/>
                              </w:rPr>
                              <w:object w:dxaOrig="432" w:dyaOrig="288" w14:anchorId="2D02EFE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1.6pt;height:14.4pt">
                                  <v:imagedata r:id="rId13" o:title=""/>
                                </v:shape>
                                <o:OLEObject Type="Embed" ProgID="Equation.3" ShapeID="_x0000_i1026" DrawAspect="Content" ObjectID="_1580302778" r:id="rId14"/>
                              </w:object>
                            </w:r>
                            <w:r w:rsidRPr="00071D86">
                              <w:t xml:space="preserve"> being mapped to physical resources according to </w:t>
                            </w:r>
                          </w:p>
                          <w:p w14:paraId="094C02A2" w14:textId="5E70E59A" w:rsidR="00C133E1" w:rsidRPr="00927D21" w:rsidRDefault="00C133E1" w:rsidP="00D51369">
                            <w:pPr>
                              <w:jc w:val="center"/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B98279" wp14:editId="4BD5A6E8">
                                  <wp:extent cx="5915025" cy="25050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15025" cy="250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0DC0FE" w14:textId="098D28CE" w:rsidR="00C133E1" w:rsidRPr="00927D21" w:rsidRDefault="00C133E1" w:rsidP="00D51369">
                            <w:pPr>
                              <w:tabs>
                                <w:tab w:val="left" w:pos="2585"/>
                              </w:tabs>
                              <w:snapToGrid w:val="0"/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</w:pPr>
                            <w:r w:rsidRPr="00760E5F">
                              <w:rPr>
                                <w:color w:val="FF0000"/>
                              </w:rPr>
                              <w:t xml:space="preserve">under the condition that the resource elements indexed by </w:t>
                            </w:r>
                            <w:r w:rsidRPr="00760E5F">
                              <w:rPr>
                                <w:color w:val="FF0000"/>
                                <w:position w:val="-8"/>
                              </w:rPr>
                              <w:object w:dxaOrig="288" w:dyaOrig="288" w14:anchorId="3BCF3FD6">
                                <v:shape id="_x0000_i1028" type="#_x0000_t75" style="width:14.4pt;height:14.4pt">
                                  <v:imagedata r:id="rId16" o:title=""/>
                                </v:shape>
                                <o:OLEObject Type="Embed" ProgID="Equation.3" ShapeID="_x0000_i1028" DrawAspect="Content" ObjectID="_1580302779" r:id="rId17"/>
                              </w:object>
                            </w:r>
                            <w:r w:rsidRPr="00760E5F">
                              <w:rPr>
                                <w:color w:val="FF0000"/>
                              </w:rPr>
                              <w:t>are within the resource blocks occupied by the CSI-RS for which the UE is configured.</w:t>
                            </w:r>
                            <w:r w:rsidRPr="0023246F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071D86">
                              <w:rPr>
                                <w:color w:val="FF0000"/>
                              </w:rPr>
                              <w:t xml:space="preserve">The reference point for </w:t>
                            </w:r>
                            <w:r w:rsidRPr="00A50A37">
                              <w:rPr>
                                <w:color w:val="FF0000"/>
                                <w:position w:val="-6"/>
                              </w:rPr>
                              <w:object w:dxaOrig="144" w:dyaOrig="288" w14:anchorId="18D0D374">
                                <v:shape id="_x0000_i1030" type="#_x0000_t75" style="width:7.2pt;height:14.4pt">
                                  <v:imagedata r:id="rId18" o:title=""/>
                                </v:shape>
                                <o:OLEObject Type="Embed" ProgID="Equation.3" ShapeID="_x0000_i1030" DrawAspect="Content" ObjectID="_1580302780" r:id="rId19"/>
                              </w:object>
                            </w:r>
                            <w:r w:rsidRPr="00071D86">
                              <w:rPr>
                                <w:color w:val="FF0000"/>
                              </w:rPr>
                              <w:t xml:space="preserve"> is subcarrier 0 in common resource block 0.</w:t>
                            </w:r>
                            <w:r>
                              <w:rPr>
                                <w:rFonts w:eastAsia="Malgun Gothic" w:hint="eastAsia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927D21">
                              <w:rPr>
                                <w:rFonts w:eastAsia="Malgun Gothic"/>
                                <w:color w:val="0070C0"/>
                                <w:lang w:eastAsia="ko-KR"/>
                              </w:rPr>
                              <w:t xml:space="preserve">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color w:val="0070C0"/>
                                  <w:lang w:eastAsia="ko-KR"/>
                                </w:rPr>
                                <m:t>ρ</m:t>
                              </m:r>
                            </m:oMath>
                            <w:r w:rsidRPr="00927D21">
                              <w:rPr>
                                <w:rFonts w:eastAsia="Malgun Gothic"/>
                                <w:color w:val="0070C0"/>
                                <w:lang w:eastAsia="ko-KR"/>
                              </w:rPr>
                              <w:t xml:space="preserve"> is given by the higher-layer parameter </w:t>
                            </w:r>
                            <w:r w:rsidRPr="00927D21">
                              <w:rPr>
                                <w:rFonts w:eastAsia="SimSun"/>
                                <w:i/>
                                <w:color w:val="0070C0"/>
                              </w:rPr>
                              <w:t>CSI-RS-Density</w:t>
                            </w:r>
                            <w:r w:rsidRPr="00927D21">
                              <w:rPr>
                                <w:rFonts w:eastAsia="Malgun Gothic"/>
                                <w:color w:val="0070C0"/>
                                <w:lang w:eastAsia="ko-KR"/>
                              </w:rPr>
                              <w:t>.</w:t>
                            </w:r>
                          </w:p>
                          <w:p w14:paraId="7FA05B3E" w14:textId="77777777" w:rsidR="00C133E1" w:rsidRPr="00D51369" w:rsidRDefault="00C133E1" w:rsidP="00BF7642">
                            <w:pPr>
                              <w:rPr>
                                <w:rFonts w:eastAsia="MS Minch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284.5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" fillcolor="white [3201]" strokeweight=".5pt">
                <v:textbox>
                  <w:txbxContent>
                    <w:p w14:paraId="0AD509B2" w14:textId="77777777" w:rsidR="00C133E1" w:rsidRPr="001325F0" w:rsidRDefault="00C133E1" w:rsidP="00D51369">
                      <w:pPr>
                        <w:rPr>
                          <w:lang w:val="en-US" w:eastAsia="x-none"/>
                        </w:rPr>
                      </w:pPr>
                      <w:r w:rsidRPr="001325F0">
                        <w:rPr>
                          <w:highlight w:val="darkYellow"/>
                          <w:lang w:val="en-US" w:eastAsia="x-none"/>
                        </w:rPr>
                        <w:t>Working Assumption</w:t>
                      </w:r>
                    </w:p>
                    <w:p w14:paraId="29E19854" w14:textId="77777777" w:rsidR="00C133E1" w:rsidRPr="00AA366A" w:rsidRDefault="00C133E1" w:rsidP="00D51369">
                      <w:pPr>
                        <w:rPr>
                          <w:lang w:val="en-US" w:eastAsia="x-none"/>
                        </w:rPr>
                      </w:pPr>
                      <w:r w:rsidRPr="00AA366A">
                        <w:rPr>
                          <w:lang w:val="en-US" w:eastAsia="x-none"/>
                        </w:rPr>
                        <w:t xml:space="preserve">Agree to the following text for TS.38.211 with the understanding </w:t>
                      </w:r>
                      <w:r>
                        <w:rPr>
                          <w:lang w:val="en-US" w:eastAsia="x-none"/>
                        </w:rPr>
                        <w:t xml:space="preserve">that </w:t>
                      </w:r>
                      <w:r w:rsidRPr="00AA366A">
                        <w:rPr>
                          <w:lang w:val="en-US" w:eastAsia="x-none"/>
                        </w:rPr>
                        <w:t>the 1 port rate=1/2 case needs to be checked. If there is an issue with the working assumption for 1 port rate=1/2, technical details will be modified.</w:t>
                      </w:r>
                    </w:p>
                    <w:p w14:paraId="4E9D9DDD" w14:textId="77777777" w:rsidR="00C133E1" w:rsidRPr="00A54277" w:rsidRDefault="00C133E1" w:rsidP="00D51369">
                      <w:pPr>
                        <w:pStyle w:val="BodyText"/>
                        <w:spacing w:after="0"/>
                        <w:rPr>
                          <w:rFonts w:ascii="Arial" w:hAnsi="Arial" w:cs="Arial"/>
                        </w:rPr>
                      </w:pPr>
                      <w:r w:rsidRPr="00A54277">
                        <w:rPr>
                          <w:rFonts w:ascii="Arial" w:hAnsi="Arial" w:cs="Arial"/>
                        </w:rPr>
                        <w:t>7.4.1.5.3</w:t>
                      </w:r>
                      <w:r w:rsidRPr="00A54277">
                        <w:rPr>
                          <w:rFonts w:ascii="Arial" w:hAnsi="Arial" w:cs="Arial"/>
                        </w:rPr>
                        <w:tab/>
                        <w:t>Mapping to physical resources</w:t>
                      </w:r>
                    </w:p>
                    <w:p w14:paraId="0FBE0ED7" w14:textId="77777777" w:rsidR="00C133E1" w:rsidRDefault="00C133E1" w:rsidP="00D51369">
                      <w:pPr>
                        <w:rPr>
                          <w:rFonts w:eastAsia="Malgun Gothic"/>
                          <w:lang w:eastAsia="ko-KR"/>
                        </w:rPr>
                      </w:pPr>
                      <w:r w:rsidRPr="00071D86">
                        <w:t xml:space="preserve">For each CSI-RS component configured, the UE shall assume the sequence </w:t>
                      </w:r>
                      <w:r w:rsidRPr="00760E5F">
                        <w:rPr>
                          <w:color w:val="FF0000"/>
                          <w:position w:val="-10"/>
                        </w:rPr>
                        <w:object w:dxaOrig="432" w:dyaOrig="288" w14:anchorId="2D02EFE2">
                          <v:shape id="_x0000_i1026" type="#_x0000_t75" style="width:21.6pt;height:14.4pt">
                            <v:imagedata r:id="rId13" o:title=""/>
                          </v:shape>
                          <o:OLEObject Type="Embed" ProgID="Equation.3" ShapeID="_x0000_i1026" DrawAspect="Content" ObjectID="_1580302778" r:id="rId20"/>
                        </w:object>
                      </w:r>
                      <w:r w:rsidRPr="00071D86">
                        <w:t xml:space="preserve"> being mapped to physical resources according to </w:t>
                      </w:r>
                    </w:p>
                    <w:p w14:paraId="094C02A2" w14:textId="5E70E59A" w:rsidR="00C133E1" w:rsidRPr="00927D21" w:rsidRDefault="00C133E1" w:rsidP="00D51369">
                      <w:pPr>
                        <w:jc w:val="center"/>
                        <w:rPr>
                          <w:rFonts w:eastAsia="Malgun Gothic"/>
                          <w:color w:val="FF0000"/>
                          <w:lang w:eastAsia="ko-K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B98279" wp14:editId="4BD5A6E8">
                            <wp:extent cx="5915025" cy="25050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15025" cy="250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0DC0FE" w14:textId="098D28CE" w:rsidR="00C133E1" w:rsidRPr="00927D21" w:rsidRDefault="00C133E1" w:rsidP="00D51369">
                      <w:pPr>
                        <w:tabs>
                          <w:tab w:val="left" w:pos="2585"/>
                        </w:tabs>
                        <w:snapToGrid w:val="0"/>
                        <w:rPr>
                          <w:rFonts w:eastAsia="Malgun Gothic"/>
                          <w:color w:val="FF0000"/>
                          <w:lang w:eastAsia="ko-KR"/>
                        </w:rPr>
                      </w:pPr>
                      <w:r w:rsidRPr="00760E5F">
                        <w:rPr>
                          <w:color w:val="FF0000"/>
                        </w:rPr>
                        <w:t xml:space="preserve">under the condition that the resource elements indexed by </w:t>
                      </w:r>
                      <w:r w:rsidRPr="00760E5F">
                        <w:rPr>
                          <w:color w:val="FF0000"/>
                          <w:position w:val="-8"/>
                        </w:rPr>
                        <w:object w:dxaOrig="288" w:dyaOrig="288" w14:anchorId="3BCF3FD6">
                          <v:shape id="_x0000_i1028" type="#_x0000_t75" style="width:14.4pt;height:14.4pt">
                            <v:imagedata r:id="rId16" o:title=""/>
                          </v:shape>
                          <o:OLEObject Type="Embed" ProgID="Equation.3" ShapeID="_x0000_i1028" DrawAspect="Content" ObjectID="_1580302779" r:id="rId21"/>
                        </w:object>
                      </w:r>
                      <w:r w:rsidRPr="00760E5F">
                        <w:rPr>
                          <w:color w:val="FF0000"/>
                        </w:rPr>
                        <w:t>are within the resource blocks occupied by the CSI-RS for which the UE is configured.</w:t>
                      </w:r>
                      <w:r w:rsidRPr="0023246F">
                        <w:rPr>
                          <w:color w:val="FF0000"/>
                        </w:rPr>
                        <w:t xml:space="preserve"> </w:t>
                      </w:r>
                      <w:r w:rsidRPr="00071D86">
                        <w:rPr>
                          <w:color w:val="FF0000"/>
                        </w:rPr>
                        <w:t xml:space="preserve">The reference point for </w:t>
                      </w:r>
                      <w:r w:rsidRPr="00A50A37">
                        <w:rPr>
                          <w:color w:val="FF0000"/>
                          <w:position w:val="-6"/>
                        </w:rPr>
                        <w:object w:dxaOrig="144" w:dyaOrig="288" w14:anchorId="18D0D374">
                          <v:shape id="_x0000_i1030" type="#_x0000_t75" style="width:7.2pt;height:14.4pt">
                            <v:imagedata r:id="rId18" o:title=""/>
                          </v:shape>
                          <o:OLEObject Type="Embed" ProgID="Equation.3" ShapeID="_x0000_i1030" DrawAspect="Content" ObjectID="_1580302780" r:id="rId22"/>
                        </w:object>
                      </w:r>
                      <w:r w:rsidRPr="00071D86">
                        <w:rPr>
                          <w:color w:val="FF0000"/>
                        </w:rPr>
                        <w:t xml:space="preserve"> is subcarrier 0 in common resource block 0.</w:t>
                      </w:r>
                      <w:r>
                        <w:rPr>
                          <w:rFonts w:eastAsia="Malgun Gothic" w:hint="eastAsia"/>
                          <w:color w:val="FF0000"/>
                          <w:lang w:eastAsia="ko-KR"/>
                        </w:rPr>
                        <w:t xml:space="preserve"> </w:t>
                      </w:r>
                      <w:r w:rsidRPr="00927D21">
                        <w:rPr>
                          <w:rFonts w:eastAsia="Malgun Gothic"/>
                          <w:color w:val="0070C0"/>
                          <w:lang w:eastAsia="ko-KR"/>
                        </w:rPr>
                        <w:t xml:space="preserve">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color w:val="0070C0"/>
                            <w:lang w:eastAsia="ko-KR"/>
                          </w:rPr>
                          <m:t>ρ</m:t>
                        </m:r>
                      </m:oMath>
                      <w:r w:rsidRPr="00927D21">
                        <w:rPr>
                          <w:rFonts w:eastAsia="Malgun Gothic"/>
                          <w:color w:val="0070C0"/>
                          <w:lang w:eastAsia="ko-KR"/>
                        </w:rPr>
                        <w:t xml:space="preserve"> is given by the higher-layer parameter </w:t>
                      </w:r>
                      <w:r w:rsidRPr="00927D21">
                        <w:rPr>
                          <w:rFonts w:eastAsia="SimSun"/>
                          <w:i/>
                          <w:color w:val="0070C0"/>
                        </w:rPr>
                        <w:t>CSI-RS-Density</w:t>
                      </w:r>
                      <w:r w:rsidRPr="00927D21">
                        <w:rPr>
                          <w:rFonts w:eastAsia="Malgun Gothic"/>
                          <w:color w:val="0070C0"/>
                          <w:lang w:eastAsia="ko-KR"/>
                        </w:rPr>
                        <w:t>.</w:t>
                      </w:r>
                    </w:p>
                    <w:p w14:paraId="7FA05B3E" w14:textId="77777777" w:rsidR="00C133E1" w:rsidRPr="00D51369" w:rsidRDefault="00C133E1" w:rsidP="00BF7642">
                      <w:pPr>
                        <w:rPr>
                          <w:rFonts w:eastAsia="MS Mincho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4C9E8ABE" w:rsidR="00477768" w:rsidRPr="00CE0424" w:rsidRDefault="00D51369" w:rsidP="00BF7642">
      <w:pPr>
        <w:pStyle w:val="BodyText"/>
      </w:pPr>
      <w:r>
        <w:t>In this contribution, we revisit the identified issue with density ½, X=1</w:t>
      </w:r>
      <w:r w:rsidR="0090428F">
        <w:t>, and address CSI-RS resource sharing across densities.</w:t>
      </w:r>
    </w:p>
    <w:p w14:paraId="3CB8F8BC" w14:textId="6A297FA4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512B6A1" w14:textId="5975FDDC" w:rsidR="00D51369" w:rsidRDefault="008E0639" w:rsidP="00D51369">
      <w:pPr>
        <w:pStyle w:val="Heading2"/>
      </w:pPr>
      <w:r>
        <w:t>On the working assumption on sequence mapping</w:t>
      </w:r>
    </w:p>
    <w:p w14:paraId="33C4E79B" w14:textId="216A1AB1" w:rsidR="00D70B10" w:rsidRDefault="00D70B10" w:rsidP="00D70B10">
      <w:pPr>
        <w:pStyle w:val="BodyText"/>
        <w:rPr>
          <w:lang w:val="en-US"/>
        </w:rPr>
      </w:pPr>
      <w:r>
        <w:rPr>
          <w:lang w:val="en-US"/>
        </w:rPr>
        <w:t>To enable sharing of CSI-RS physical resources among users with partly overlapping bandwidths</w:t>
      </w:r>
      <w:r w:rsidR="008D2EDD">
        <w:rPr>
          <w:lang w:val="en-US"/>
        </w:rPr>
        <w:t>,</w:t>
      </w:r>
      <w:r w:rsidR="00AD2DAD">
        <w:rPr>
          <w:lang w:val="en-US"/>
        </w:rPr>
        <w:t xml:space="preserve"> a resource specific paradigm has been adopted for the CSI-RS sequence mapping (as expressed in the WA cited above). We note that for the X=1 port case this is not </w:t>
      </w:r>
      <w:r w:rsidR="00FB3A7E">
        <w:rPr>
          <w:lang w:val="en-US"/>
        </w:rPr>
        <w:t xml:space="preserve">fully </w:t>
      </w:r>
      <w:r w:rsidR="00AD2DAD">
        <w:rPr>
          <w:lang w:val="en-US"/>
        </w:rPr>
        <w:t xml:space="preserve">implemented; the sequence mapping is not resource specific across densities </w:t>
      </w:r>
      <m:oMath>
        <m:r>
          <w:rPr>
            <w:rFonts w:ascii="Cambria Math" w:hAnsi="Cambria Math"/>
            <w:lang w:val="en-US"/>
          </w:rPr>
          <m:t>ρ=0.5</m:t>
        </m:r>
      </m:oMath>
      <w:r w:rsidR="00AD2DAD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ρ=1</m:t>
        </m:r>
      </m:oMath>
      <w:r w:rsidR="00AD2DAD">
        <w:rPr>
          <w:lang w:val="en-US"/>
        </w:rPr>
        <w:t xml:space="preserve"> (the case that was to be checked according to the WA).</w:t>
      </w:r>
    </w:p>
    <w:p w14:paraId="18F791FC" w14:textId="0CA329F7" w:rsidR="00AD2DAD" w:rsidRDefault="00AD2DAD" w:rsidP="00D70B10">
      <w:pPr>
        <w:pStyle w:val="BodyText"/>
        <w:rPr>
          <w:lang w:val="en-US"/>
        </w:rPr>
      </w:pPr>
      <w:r w:rsidRPr="00AD2DAD">
        <w:rPr>
          <w:lang w:val="en-US"/>
        </w:rPr>
        <w:t xml:space="preserve">Consider a scenario where </w:t>
      </w:r>
      <w:r w:rsidR="006F12FD">
        <w:rPr>
          <w:lang w:val="en-US"/>
        </w:rPr>
        <w:t>UE</w:t>
      </w:r>
      <w:r w:rsidRPr="00AD2DAD">
        <w:rPr>
          <w:lang w:val="en-US"/>
        </w:rPr>
        <w:t xml:space="preserve">1 has smaller </w:t>
      </w:r>
      <w:r>
        <w:rPr>
          <w:lang w:val="en-US"/>
        </w:rPr>
        <w:t>bandwidth part bandwidth compared to</w:t>
      </w:r>
      <w:r w:rsidRPr="00AD2DAD">
        <w:rPr>
          <w:lang w:val="en-US"/>
        </w:rPr>
        <w:t xml:space="preserve"> </w:t>
      </w:r>
      <w:r w:rsidR="006F12FD">
        <w:rPr>
          <w:lang w:val="en-US"/>
        </w:rPr>
        <w:t>UE</w:t>
      </w:r>
      <w:r w:rsidRPr="00AD2DAD">
        <w:rPr>
          <w:lang w:val="en-US"/>
        </w:rPr>
        <w:t xml:space="preserve">2. </w:t>
      </w:r>
      <w:r>
        <w:rPr>
          <w:lang w:val="en-US"/>
        </w:rPr>
        <w:t>It is often reasonable to</w:t>
      </w:r>
      <w:r w:rsidRPr="00AD2DAD">
        <w:rPr>
          <w:lang w:val="en-US"/>
        </w:rPr>
        <w:t xml:space="preserve"> have the CSI-RS cover the entire bandwidth part. To have enough energy on CSI-RS for </w:t>
      </w:r>
      <w:r w:rsidR="006F12FD">
        <w:rPr>
          <w:lang w:val="en-US"/>
        </w:rPr>
        <w:t>UE</w:t>
      </w:r>
      <w:r w:rsidRPr="00AD2DAD">
        <w:rPr>
          <w:lang w:val="en-US"/>
        </w:rPr>
        <w:t xml:space="preserve">1 it may need to be configured with density </w:t>
      </w:r>
      <m:oMath>
        <m:r>
          <w:rPr>
            <w:rFonts w:ascii="Cambria Math" w:hAnsi="Cambria Math"/>
            <w:lang w:val="en-US"/>
          </w:rPr>
          <m:t>ρ=1</m:t>
        </m:r>
      </m:oMath>
      <w:r w:rsidRPr="00AD2DAD">
        <w:rPr>
          <w:lang w:val="en-US"/>
        </w:rPr>
        <w:t xml:space="preserve">. For </w:t>
      </w:r>
      <w:r w:rsidR="006F12FD">
        <w:rPr>
          <w:lang w:val="en-US"/>
        </w:rPr>
        <w:t>UE</w:t>
      </w:r>
      <w:r w:rsidRPr="00AD2DAD">
        <w:rPr>
          <w:lang w:val="en-US"/>
        </w:rPr>
        <w:t xml:space="preserve">2 it may be sufficient to have </w:t>
      </w:r>
      <m:oMath>
        <m:r>
          <w:rPr>
            <w:rFonts w:ascii="Cambria Math" w:hAnsi="Cambria Math"/>
            <w:lang w:val="en-US"/>
          </w:rPr>
          <m:t>ρ=0.5</m:t>
        </m:r>
      </m:oMath>
      <w:r w:rsidR="001D3AA2">
        <w:rPr>
          <w:lang w:val="en-US"/>
        </w:rPr>
        <w:t xml:space="preserve"> </w:t>
      </w:r>
      <w:r w:rsidRPr="00AD2DAD">
        <w:rPr>
          <w:lang w:val="en-US"/>
        </w:rPr>
        <w:t xml:space="preserve"> (as the bandwidth is larger). This</w:t>
      </w:r>
      <w:r w:rsidR="00852A79">
        <w:rPr>
          <w:lang w:val="en-US"/>
        </w:rPr>
        <w:t xml:space="preserve"> scenario is illustrated in </w:t>
      </w:r>
      <w:r w:rsidR="00852A79">
        <w:rPr>
          <w:lang w:val="en-US"/>
        </w:rPr>
        <w:fldChar w:fldCharType="begin"/>
      </w:r>
      <w:r w:rsidR="00852A79">
        <w:rPr>
          <w:lang w:val="en-US"/>
        </w:rPr>
        <w:instrText xml:space="preserve"> REF _Ref505674193 \h </w:instrText>
      </w:r>
      <w:r w:rsidR="00852A79">
        <w:rPr>
          <w:lang w:val="en-US"/>
        </w:rPr>
      </w:r>
      <w:r w:rsidR="00852A79">
        <w:rPr>
          <w:lang w:val="en-US"/>
        </w:rPr>
        <w:fldChar w:fldCharType="separate"/>
      </w:r>
      <w:r w:rsidR="00852A79">
        <w:t xml:space="preserve">Figure </w:t>
      </w:r>
      <w:r w:rsidR="00852A79">
        <w:rPr>
          <w:noProof/>
        </w:rPr>
        <w:t>1</w:t>
      </w:r>
      <w:r w:rsidR="00852A79">
        <w:rPr>
          <w:lang w:val="en-US"/>
        </w:rPr>
        <w:fldChar w:fldCharType="end"/>
      </w:r>
      <w:r w:rsidR="00852A79">
        <w:rPr>
          <w:lang w:val="en-US"/>
        </w:rPr>
        <w:t xml:space="preserve"> </w:t>
      </w:r>
      <w:r w:rsidR="00617932">
        <w:rPr>
          <w:lang w:val="en-US"/>
        </w:rPr>
        <w:t>below:</w:t>
      </w:r>
    </w:p>
    <w:p w14:paraId="48462C97" w14:textId="77777777" w:rsidR="00852A79" w:rsidRDefault="00852A79" w:rsidP="00852A79">
      <w:pPr>
        <w:pStyle w:val="BodyText"/>
        <w:keepNext/>
      </w:pPr>
      <w:r w:rsidRPr="00852A79">
        <w:rPr>
          <w:noProof/>
          <w:lang w:val="en-US"/>
        </w:rPr>
        <w:lastRenderedPageBreak/>
        <w:drawing>
          <wp:inline distT="0" distB="0" distL="0" distR="0" wp14:anchorId="2A700BDB" wp14:editId="798C262B">
            <wp:extent cx="5943600" cy="508983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555A1" w14:textId="17F853BE" w:rsidR="00617932" w:rsidRDefault="00852A79" w:rsidP="00852A79">
      <w:pPr>
        <w:pStyle w:val="Caption"/>
        <w:rPr>
          <w:lang w:val="en-US"/>
        </w:rPr>
      </w:pPr>
      <w:bookmarkStart w:id="1" w:name="_Ref5056741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1BA2">
        <w:rPr>
          <w:noProof/>
        </w:rPr>
        <w:t>1</w:t>
      </w:r>
      <w:r>
        <w:fldChar w:fldCharType="end"/>
      </w:r>
      <w:bookmarkEnd w:id="1"/>
      <w:r>
        <w:tab/>
        <w:t xml:space="preserve">Example of CSI-RS (RB) allocations of two users with different </w:t>
      </w:r>
      <w:r w:rsidR="005233B7">
        <w:t xml:space="preserve">CSI-RS </w:t>
      </w:r>
      <w:r w:rsidR="00FB6138">
        <w:t>bandwidth and density.</w:t>
      </w:r>
    </w:p>
    <w:p w14:paraId="4FA77C38" w14:textId="579CE68F" w:rsidR="00D51369" w:rsidRDefault="00852A79" w:rsidP="00B26190">
      <w:pPr>
        <w:pStyle w:val="BodyText"/>
        <w:rPr>
          <w:lang w:val="en-US"/>
        </w:rPr>
      </w:pPr>
      <w:r>
        <w:rPr>
          <w:lang w:val="en-US"/>
        </w:rPr>
        <w:t xml:space="preserve">On the transmitter side the same example may be schematically illustrated as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_Ref505674481 \h </w:instrText>
      </w:r>
      <w:r w:rsidR="00B8254B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below:</w:t>
      </w:r>
    </w:p>
    <w:p w14:paraId="55BD8008" w14:textId="77777777" w:rsidR="00852A79" w:rsidRDefault="00852A79" w:rsidP="00852A79">
      <w:pPr>
        <w:keepNext/>
      </w:pPr>
      <w:r w:rsidRPr="00852A79">
        <w:rPr>
          <w:noProof/>
          <w:lang w:val="en-US"/>
        </w:rPr>
        <w:drawing>
          <wp:inline distT="0" distB="0" distL="0" distR="0" wp14:anchorId="6E905D0E" wp14:editId="206633C4">
            <wp:extent cx="5943600" cy="104991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79113" w14:textId="5EB7E49C" w:rsidR="00852A79" w:rsidRDefault="00852A79" w:rsidP="00852A79">
      <w:pPr>
        <w:pStyle w:val="Caption"/>
      </w:pPr>
      <w:bookmarkStart w:id="2" w:name="_Ref5056744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1BA2">
        <w:rPr>
          <w:noProof/>
        </w:rPr>
        <w:t>2</w:t>
      </w:r>
      <w:r>
        <w:fldChar w:fldCharType="end"/>
      </w:r>
      <w:bookmarkEnd w:id="2"/>
      <w:r>
        <w:tab/>
        <w:t>Example on how CSI-RS resources are mapped to the resource grid</w:t>
      </w:r>
      <w:r w:rsidR="006507F5">
        <w:t xml:space="preserve"> from the network perspective</w:t>
      </w:r>
      <w:r>
        <w:t>.</w:t>
      </w:r>
    </w:p>
    <w:p w14:paraId="5DCFB29E" w14:textId="0A0888E4" w:rsidR="00B906F7" w:rsidRDefault="006F19AE" w:rsidP="00B26190">
      <w:pPr>
        <w:pStyle w:val="BodyText"/>
        <w:rPr>
          <w:lang w:val="en-US"/>
        </w:rPr>
      </w:pPr>
      <w:r>
        <w:t>Assume that</w:t>
      </w:r>
      <w:r w:rsidR="00852A79">
        <w:t xml:space="preserve"> the CSI-RS resources configured for UE1 and UE2 have same number of ports, X</w:t>
      </w:r>
      <w:r>
        <w:t xml:space="preserve"> (in practice this will often be the case)</w:t>
      </w:r>
      <w:r w:rsidR="00852A79">
        <w:t>.</w:t>
      </w:r>
      <w:r w:rsidR="001D3AA2">
        <w:t xml:space="preserve"> In this case the number of resource elements reserved for CSI-RS is X, both in the RBs with only UE1 CSI-RS allocated (yellow</w:t>
      </w:r>
      <w:r w:rsidR="006F12FD">
        <w:t xml:space="preserve"> in</w:t>
      </w:r>
      <w:r w:rsidR="001D3AA2">
        <w:t xml:space="preserve"> </w:t>
      </w:r>
      <w:r w:rsidR="001D3AA2">
        <w:rPr>
          <w:lang w:val="en-US"/>
        </w:rPr>
        <w:fldChar w:fldCharType="begin"/>
      </w:r>
      <w:r w:rsidR="001D3AA2">
        <w:rPr>
          <w:lang w:val="en-US"/>
        </w:rPr>
        <w:instrText xml:space="preserve"> REF _Ref505674481 \h </w:instrText>
      </w:r>
      <w:r w:rsidR="00B8254B">
        <w:rPr>
          <w:lang w:val="en-US"/>
        </w:rPr>
        <w:instrText xml:space="preserve"> \* MERGEFORMAT </w:instrText>
      </w:r>
      <w:r w:rsidR="001D3AA2">
        <w:rPr>
          <w:lang w:val="en-US"/>
        </w:rPr>
      </w:r>
      <w:r w:rsidR="001D3AA2">
        <w:rPr>
          <w:lang w:val="en-US"/>
        </w:rPr>
        <w:fldChar w:fldCharType="separate"/>
      </w:r>
      <w:r w:rsidR="001D3AA2">
        <w:t xml:space="preserve">Figure </w:t>
      </w:r>
      <w:r w:rsidR="001D3AA2">
        <w:rPr>
          <w:noProof/>
        </w:rPr>
        <w:t>2</w:t>
      </w:r>
      <w:r w:rsidR="001D3AA2">
        <w:rPr>
          <w:lang w:val="en-US"/>
        </w:rPr>
        <w:fldChar w:fldCharType="end"/>
      </w:r>
      <w:r w:rsidR="001D3AA2">
        <w:rPr>
          <w:lang w:val="en-US"/>
        </w:rPr>
        <w:t xml:space="preserve">) </w:t>
      </w:r>
      <w:r w:rsidR="001D3AA2">
        <w:t xml:space="preserve">or only UE2 CSI-RS allocated (green in </w:t>
      </w:r>
      <w:r w:rsidR="001D3AA2">
        <w:rPr>
          <w:lang w:val="en-US"/>
        </w:rPr>
        <w:fldChar w:fldCharType="begin"/>
      </w:r>
      <w:r w:rsidR="001D3AA2">
        <w:rPr>
          <w:lang w:val="en-US"/>
        </w:rPr>
        <w:instrText xml:space="preserve"> REF _Ref505674481 \h </w:instrText>
      </w:r>
      <w:r w:rsidR="00B8254B">
        <w:rPr>
          <w:lang w:val="en-US"/>
        </w:rPr>
        <w:instrText xml:space="preserve"> \* MERGEFORMAT </w:instrText>
      </w:r>
      <w:r w:rsidR="001D3AA2">
        <w:rPr>
          <w:lang w:val="en-US"/>
        </w:rPr>
      </w:r>
      <w:r w:rsidR="001D3AA2">
        <w:rPr>
          <w:lang w:val="en-US"/>
        </w:rPr>
        <w:fldChar w:fldCharType="separate"/>
      </w:r>
      <w:r w:rsidR="001D3AA2">
        <w:t xml:space="preserve">Figure </w:t>
      </w:r>
      <w:r w:rsidR="001D3AA2">
        <w:rPr>
          <w:noProof/>
        </w:rPr>
        <w:t>2</w:t>
      </w:r>
      <w:r w:rsidR="001D3AA2">
        <w:rPr>
          <w:lang w:val="en-US"/>
        </w:rPr>
        <w:fldChar w:fldCharType="end"/>
      </w:r>
      <w:r w:rsidR="001D3AA2">
        <w:rPr>
          <w:lang w:val="en-US"/>
        </w:rPr>
        <w:t>)</w:t>
      </w:r>
      <w:r w:rsidR="001D3AA2">
        <w:t xml:space="preserve">. However, with the WA, the number of resource elements reserved for CSI-RS in the RBs with </w:t>
      </w:r>
      <w:r w:rsidR="001D3AA2" w:rsidRPr="001D3AA2">
        <w:rPr>
          <w:i/>
        </w:rPr>
        <w:t>both</w:t>
      </w:r>
      <w:r w:rsidR="001D3AA2">
        <w:rPr>
          <w:i/>
        </w:rPr>
        <w:t xml:space="preserve"> </w:t>
      </w:r>
      <w:r w:rsidR="001D3AA2">
        <w:t xml:space="preserve">UE1 and UE2 allocated (red in </w:t>
      </w:r>
      <w:r w:rsidR="001D3AA2">
        <w:rPr>
          <w:lang w:val="en-US"/>
        </w:rPr>
        <w:fldChar w:fldCharType="begin"/>
      </w:r>
      <w:r w:rsidR="001D3AA2">
        <w:rPr>
          <w:lang w:val="en-US"/>
        </w:rPr>
        <w:instrText xml:space="preserve"> REF _Ref505674481 \h </w:instrText>
      </w:r>
      <w:r w:rsidR="00B8254B">
        <w:rPr>
          <w:lang w:val="en-US"/>
        </w:rPr>
        <w:instrText xml:space="preserve"> \* MERGEFORMAT </w:instrText>
      </w:r>
      <w:r w:rsidR="001D3AA2">
        <w:rPr>
          <w:lang w:val="en-US"/>
        </w:rPr>
      </w:r>
      <w:r w:rsidR="001D3AA2">
        <w:rPr>
          <w:lang w:val="en-US"/>
        </w:rPr>
        <w:fldChar w:fldCharType="separate"/>
      </w:r>
      <w:r w:rsidR="001D3AA2">
        <w:t xml:space="preserve">Figure </w:t>
      </w:r>
      <w:r w:rsidR="001D3AA2">
        <w:rPr>
          <w:noProof/>
        </w:rPr>
        <w:t>2</w:t>
      </w:r>
      <w:r w:rsidR="001D3AA2">
        <w:rPr>
          <w:lang w:val="en-US"/>
        </w:rPr>
        <w:fldChar w:fldCharType="end"/>
      </w:r>
      <w:r w:rsidR="008D2EDD">
        <w:rPr>
          <w:lang w:val="en-US"/>
        </w:rPr>
        <w:t>) will be 2X – this is because orthogonal resources need to be configured for UE1 and UE2</w:t>
      </w:r>
      <w:r w:rsidR="00D22F07">
        <w:rPr>
          <w:lang w:val="en-US"/>
        </w:rPr>
        <w:t>, since the sequence values in the red RBs are different according to the working assumption</w:t>
      </w:r>
      <w:r w:rsidR="008D2EDD">
        <w:rPr>
          <w:lang w:val="en-US"/>
        </w:rPr>
        <w:t>.</w:t>
      </w:r>
      <w:r w:rsidR="001D3AA2">
        <w:rPr>
          <w:lang w:val="en-US"/>
        </w:rPr>
        <w:t xml:space="preserve"> If the sequence mapping would be defined to be resource specific also across densities</w:t>
      </w:r>
      <w:r>
        <w:rPr>
          <w:lang w:val="en-US"/>
        </w:rPr>
        <w:t>,</w:t>
      </w:r>
      <w:r w:rsidR="001D3AA2">
        <w:rPr>
          <w:lang w:val="en-US"/>
        </w:rPr>
        <w:t xml:space="preserve"> </w:t>
      </w:r>
      <w:r w:rsidR="006F12FD">
        <w:rPr>
          <w:lang w:val="en-US"/>
        </w:rPr>
        <w:t xml:space="preserve">the transmitted CSI-RS resource could instead be shared in those RBs and the number of resource elements reserved for CSI-RS would be X also in the overlapping RBs. </w:t>
      </w:r>
      <w:r w:rsidR="00D22F07">
        <w:rPr>
          <w:lang w:val="en-US"/>
        </w:rPr>
        <w:t xml:space="preserve">Clearly, a non-resource specific design over different densities leads to unnecessarily large CSI-RS overhead. </w:t>
      </w:r>
      <w:r w:rsidR="006F12FD">
        <w:rPr>
          <w:lang w:val="en-US"/>
        </w:rPr>
        <w:t xml:space="preserve">To that end we </w:t>
      </w:r>
      <w:r w:rsidR="00DB2A58">
        <w:rPr>
          <w:lang w:val="en-US"/>
        </w:rPr>
        <w:t xml:space="preserve">observe </w:t>
      </w:r>
    </w:p>
    <w:p w14:paraId="252A59CF" w14:textId="61513745" w:rsidR="001A7776" w:rsidRPr="000F79E5" w:rsidRDefault="00DB2A58" w:rsidP="00DB2A58">
      <w:pPr>
        <w:pStyle w:val="Observation"/>
        <w:rPr>
          <w:lang w:val="en-US"/>
        </w:rPr>
      </w:pPr>
      <w:bookmarkStart w:id="3" w:name="_Toc506560739"/>
      <w:r>
        <w:rPr>
          <w:lang w:val="en-US"/>
        </w:rPr>
        <w:t xml:space="preserve">Working assumption on sequence mapping does not support sharing of transmitted CSI-RS resource across density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>
        <w:rPr>
          <w:lang w:val="en-US"/>
        </w:rPr>
        <w:t xml:space="preserve"> =0.5 and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>
        <w:rPr>
          <w:lang w:val="en-US"/>
        </w:rPr>
        <w:t xml:space="preserve"> =1 for X=1. Such sharing </w:t>
      </w:r>
      <w:r w:rsidR="00CF226D">
        <w:rPr>
          <w:lang w:val="en-US"/>
        </w:rPr>
        <w:t xml:space="preserve">would </w:t>
      </w:r>
      <w:r>
        <w:rPr>
          <w:lang w:val="en-US"/>
        </w:rPr>
        <w:t xml:space="preserve">be enabled by </w:t>
      </w:r>
      <w:r w:rsidR="00CF226D">
        <w:rPr>
          <w:lang w:val="en-US"/>
        </w:rPr>
        <w:t>an updat</w:t>
      </w:r>
      <w:r w:rsidR="00D27B14">
        <w:rPr>
          <w:lang w:val="en-US"/>
        </w:rPr>
        <w:t>e</w:t>
      </w:r>
      <w:r w:rsidR="00CF226D">
        <w:rPr>
          <w:lang w:val="en-US"/>
        </w:rPr>
        <w:t xml:space="preserve"> of</w:t>
      </w:r>
      <w:r>
        <w:rPr>
          <w:lang w:val="en-US"/>
        </w:rPr>
        <w:t xml:space="preserve"> the formula according to example below.</w:t>
      </w:r>
      <w:bookmarkEnd w:id="3"/>
    </w:p>
    <w:p w14:paraId="68EB4532" w14:textId="440FA719" w:rsidR="00FC1BE6" w:rsidRDefault="00DB2A58" w:rsidP="00852A79">
      <w:pPr>
        <w:rPr>
          <w:lang w:val="en-US"/>
        </w:rPr>
      </w:pPr>
      <w:r>
        <w:rPr>
          <w:lang w:val="en-US"/>
        </w:rPr>
        <w:t xml:space="preserve"> (changes marked in red)</w:t>
      </w:r>
    </w:p>
    <w:p w14:paraId="3D638C74" w14:textId="77777777" w:rsidR="00F82B5F" w:rsidRPr="00F82B5F" w:rsidRDefault="00893E80" w:rsidP="00F82B5F">
      <w:pPr>
        <w:jc w:val="righ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p,u</m:t>
                  </m:r>
                </m:e>
              </m:d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CSIRS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∙w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s,f</m:t>
                  </m:r>
                </m:sub>
              </m:sSub>
            </m:sub>
            <m:sup/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</m:oMath>
      </m:oMathPara>
    </w:p>
    <w:p w14:paraId="4A0D4F47" w14:textId="77777777" w:rsidR="00F82B5F" w:rsidRPr="00F82B5F" w:rsidRDefault="00F82B5F" w:rsidP="00F82B5F">
      <w:pPr>
        <w:jc w:val="right"/>
      </w:pPr>
      <m:oMathPara>
        <m:oMath>
          <m:r>
            <w:rPr>
              <w:rFonts w:ascii="Cambria Math" w:hAnsi="Cambria Math"/>
            </w:rPr>
            <m:t>k=n∙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+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4D9A751" w14:textId="77777777" w:rsidR="00F82B5F" w:rsidRPr="00F82B5F" w:rsidRDefault="00F82B5F" w:rsidP="00F82B5F">
      <w:pPr>
        <w:jc w:val="right"/>
      </w:pPr>
      <m:oMathPara>
        <m:oMath>
          <m:r>
            <w:rPr>
              <w:rFonts w:ascii="Cambria Math" w:hAnsi="Cambria Math"/>
            </w:rPr>
            <m:t>l=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l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l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779D20FD" w14:textId="77777777" w:rsidR="00F82B5F" w:rsidRPr="00F82B5F" w:rsidRDefault="00F82B5F" w:rsidP="00F82B5F">
      <w:pPr>
        <w:jc w:val="right"/>
      </w:pPr>
      <m:oMathPara>
        <m:oMath>
          <m:r>
            <w:rPr>
              <w:rFonts w:ascii="Cambria Math" w:hAnsi="Cambria Math"/>
            </w:rPr>
            <m:t>m=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n∙α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  <m:r>
                    <w:rPr>
                      <w:rFonts w:ascii="Cambria Math" w:hAnsi="Cambria Math"/>
                    </w:rPr>
                    <m:t>ρ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66839ECE" w14:textId="53D75FCF" w:rsidR="00F82B5F" w:rsidRPr="008D2EDD" w:rsidRDefault="00F82B5F" w:rsidP="00F82B5F">
      <w:pPr>
        <w:jc w:val="right"/>
      </w:pPr>
      <m:oMathPara>
        <m:oMath>
          <m:r>
            <w:rPr>
              <w:rFonts w:ascii="Cambria Math" w:hAnsi="Cambria Math"/>
            </w:rPr>
            <m:t>α=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ρ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for 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X=1, ρ=1,3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2ρ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1111936C" w14:textId="4456D75B" w:rsidR="0084020E" w:rsidRDefault="00F82B5F" w:rsidP="00852A79">
      <m:oMathPara>
        <m:oMath>
          <m:r>
            <w:rPr>
              <w:rFonts w:ascii="Cambria Math" w:hAnsi="Cambria Math"/>
            </w:rPr>
            <m:t>n=0,1,…</m:t>
          </m:r>
        </m:oMath>
      </m:oMathPara>
    </w:p>
    <w:p w14:paraId="260F14FA" w14:textId="278A3FBA" w:rsidR="00B8254B" w:rsidRDefault="0084020E" w:rsidP="00B26190">
      <w:pPr>
        <w:pStyle w:val="BodyText"/>
      </w:pPr>
      <w:r>
        <w:rPr>
          <w:lang w:val="en-US"/>
        </w:rPr>
        <w:t xml:space="preserve">While the non-resource specific aspect of the working assumption is illustrated above for X = 1 port, in fact the working assumption has the same issue for X &gt; 1 ports. </w:t>
      </w:r>
      <w:r w:rsidR="00542D45">
        <w:rPr>
          <w:lang w:val="en-US"/>
        </w:rPr>
        <w:t>Actually</w:t>
      </w:r>
      <w:r>
        <w:rPr>
          <w:lang w:val="en-US"/>
        </w:rPr>
        <w:t>, the problem becomes worse as X grows, since the need to reserve orthogonal time-frequency resources for CSI-RS resources of different densities consumes even more overhead. To avoid this issue, and at the same time making the specification simpler, one may therefore consider</w:t>
      </w:r>
    </w:p>
    <w:p w14:paraId="317B0526" w14:textId="223770E6" w:rsidR="00B906F7" w:rsidRPr="00542D45" w:rsidRDefault="000F79E5" w:rsidP="00DB2A58">
      <w:pPr>
        <w:pStyle w:val="Proposal"/>
        <w:rPr>
          <w:lang w:val="en-US"/>
        </w:rPr>
      </w:pPr>
      <w:bookmarkStart w:id="4" w:name="_Toc506560689"/>
      <w:r>
        <w:t xml:space="preserve">Extend the sequence mapping to allow sharing </w:t>
      </w:r>
      <w:r w:rsidR="00D27B14">
        <w:t xml:space="preserve">of transmitted CSI-RS resources </w:t>
      </w:r>
      <w:r>
        <w:t>across densities</w:t>
      </w:r>
      <m:oMath>
        <m:r>
          <m:rPr>
            <m:sty m:val="bi"/>
          </m:rPr>
          <w:rPr>
            <w:rFonts w:ascii="Cambria Math" w:hAnsi="Cambria Math"/>
          </w:rPr>
          <m:t xml:space="preserve"> ρ</m:t>
        </m:r>
      </m:oMath>
      <w:r w:rsidR="00D27B14">
        <w:rPr>
          <w:lang w:val="en-US"/>
        </w:rPr>
        <w:t xml:space="preserve"> =0.5 and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="00D27B14">
        <w:rPr>
          <w:lang w:val="en-US"/>
        </w:rPr>
        <w:t xml:space="preserve"> =1 </w:t>
      </w:r>
      <w:r w:rsidR="00B8254B">
        <w:t xml:space="preserve">for both X = 1 and X &gt; 1 </w:t>
      </w:r>
      <w:r w:rsidR="004F5D4B">
        <w:t>according to the text proposal below</w:t>
      </w:r>
      <w:bookmarkEnd w:id="4"/>
    </w:p>
    <w:p w14:paraId="1605B043" w14:textId="22C9C443" w:rsidR="000F79E5" w:rsidRPr="00B906F7" w:rsidRDefault="000F79E5" w:rsidP="00DB2A58">
      <w:pPr>
        <w:pStyle w:val="BodyText"/>
        <w:rPr>
          <w:lang w:val="en-US"/>
        </w:rPr>
      </w:pPr>
      <w:r w:rsidRPr="00B906F7">
        <w:rPr>
          <w:highlight w:val="yellow"/>
        </w:rPr>
        <w:t>&gt;&gt;&gt;&gt;&gt;&gt;&gt;&gt;&gt;&gt;&gt;&gt;TEXT PROPOSAL</w:t>
      </w:r>
      <w:r w:rsidR="008A5147" w:rsidRPr="00B906F7">
        <w:rPr>
          <w:highlight w:val="yellow"/>
        </w:rPr>
        <w:t xml:space="preserve"> (38.211) </w:t>
      </w:r>
      <w:r w:rsidRPr="00B906F7">
        <w:rPr>
          <w:highlight w:val="yellow"/>
        </w:rPr>
        <w:t>&lt;&lt;&lt;&lt;&lt;&lt;&lt;&lt;&lt;&lt;&lt;&lt;&lt;&lt;&lt;&lt;&lt;&lt;&lt;&lt;&lt;&lt;&lt;&lt;&lt;&lt;&lt;&lt;&lt;&lt;&lt;&lt;</w:t>
      </w:r>
    </w:p>
    <w:p w14:paraId="79B17421" w14:textId="77777777" w:rsidR="000F79E5" w:rsidRDefault="000F79E5" w:rsidP="000F79E5">
      <w:pPr>
        <w:pStyle w:val="Proposal"/>
        <w:numPr>
          <w:ilvl w:val="0"/>
          <w:numId w:val="0"/>
        </w:numPr>
      </w:pPr>
    </w:p>
    <w:p w14:paraId="0054F351" w14:textId="77777777" w:rsidR="007D35CC" w:rsidRPr="00F82B5F" w:rsidRDefault="00893E80" w:rsidP="007D35CC">
      <w:pPr>
        <w:jc w:val="righ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p,u</m:t>
                  </m:r>
                </m:e>
              </m:d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CSIRS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∙w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s,f</m:t>
                  </m:r>
                </m:sub>
              </m:sSub>
            </m:sub>
            <m:sup/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</m:oMath>
      </m:oMathPara>
    </w:p>
    <w:p w14:paraId="5607125D" w14:textId="77777777" w:rsidR="007D35CC" w:rsidRPr="00F82B5F" w:rsidRDefault="007D35CC" w:rsidP="007D35CC">
      <w:pPr>
        <w:jc w:val="right"/>
      </w:pPr>
      <m:oMathPara>
        <m:oMath>
          <m:r>
            <w:rPr>
              <w:rFonts w:ascii="Cambria Math" w:hAnsi="Cambria Math"/>
            </w:rPr>
            <m:t>k=n∙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+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68584C81" w14:textId="77777777" w:rsidR="007D35CC" w:rsidRPr="00F82B5F" w:rsidRDefault="007D35CC" w:rsidP="007D35CC">
      <w:pPr>
        <w:jc w:val="right"/>
      </w:pPr>
      <m:oMathPara>
        <m:oMath>
          <m:r>
            <w:rPr>
              <w:rFonts w:ascii="Cambria Math" w:hAnsi="Cambria Math"/>
            </w:rPr>
            <m:t>l=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l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l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1E7BED79" w14:textId="77777777" w:rsidR="007D35CC" w:rsidRPr="00F82B5F" w:rsidRDefault="007D35CC" w:rsidP="007D35CC">
      <w:pPr>
        <w:jc w:val="right"/>
      </w:pPr>
      <m:oMathPara>
        <m:oMath>
          <m:r>
            <w:rPr>
              <w:rFonts w:ascii="Cambria Math" w:hAnsi="Cambria Math"/>
            </w:rPr>
            <m:t>m=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n∙α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  <m:r>
                    <w:rPr>
                      <w:rFonts w:ascii="Cambria Math" w:hAnsi="Cambria Math"/>
                    </w:rPr>
                    <m:t>ρ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30868C64" w14:textId="5083F0CF" w:rsidR="006F19AE" w:rsidRPr="008D2EDD" w:rsidRDefault="006F19AE" w:rsidP="006F19AE">
      <w:pPr>
        <w:jc w:val="right"/>
      </w:pPr>
      <m:oMathPara>
        <m:oMath>
          <m:r>
            <w:rPr>
              <w:rFonts w:ascii="Cambria Math" w:hAnsi="Cambria Math"/>
            </w:rPr>
            <m:t>α=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ρ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for 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X=1, ρ=3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0EBBA455" w14:textId="77777777" w:rsidR="007D35CC" w:rsidRPr="00F82B5F" w:rsidRDefault="009F23FB" w:rsidP="007D35CC">
      <w:pPr>
        <w:jc w:val="right"/>
      </w:pPr>
      <m:oMathPara>
        <m:oMath>
          <m:r>
            <w:rPr>
              <w:rFonts w:ascii="Cambria Math" w:hAnsi="Cambria Math"/>
            </w:rPr>
            <m:t>n=0,1,…</m:t>
          </m:r>
        </m:oMath>
      </m:oMathPara>
    </w:p>
    <w:p w14:paraId="33285E81" w14:textId="26F89FB4" w:rsidR="000C1E8C" w:rsidRPr="00667E78" w:rsidRDefault="000C1E8C" w:rsidP="000C1E8C">
      <w:pPr>
        <w:jc w:val="right"/>
        <w:rPr>
          <w:color w:val="FF0000"/>
        </w:rPr>
      </w:pPr>
    </w:p>
    <w:p w14:paraId="10DC4BFF" w14:textId="0D8453AC" w:rsidR="000C1E8C" w:rsidRPr="006F12FD" w:rsidRDefault="00C7505C" w:rsidP="00852A79">
      <w:r w:rsidRPr="00354010">
        <w:rPr>
          <w:highlight w:val="yellow"/>
        </w:rPr>
        <w:t>&gt;&gt;&gt;&gt;&gt;&gt;&gt;&gt;&gt;&gt;&gt;&gt;</w:t>
      </w:r>
      <w:r>
        <w:rPr>
          <w:highlight w:val="yellow"/>
        </w:rPr>
        <w:t xml:space="preserve"> </w:t>
      </w:r>
      <w:r w:rsidRPr="00354010">
        <w:rPr>
          <w:highlight w:val="yellow"/>
        </w:rPr>
        <w:t xml:space="preserve"> End text proposal </w:t>
      </w:r>
      <w:r>
        <w:rPr>
          <w:highlight w:val="yellow"/>
        </w:rPr>
        <w:t xml:space="preserve"> </w:t>
      </w:r>
      <w:r w:rsidRPr="00354010">
        <w:rPr>
          <w:highlight w:val="yellow"/>
        </w:rPr>
        <w:t>&gt;&gt;&gt;&gt;&gt;&gt;&gt;&gt;&gt;&gt;&gt;&gt;</w:t>
      </w:r>
    </w:p>
    <w:p w14:paraId="4AF841DE" w14:textId="43646EE9" w:rsidR="006F12FD" w:rsidRDefault="009F23FB" w:rsidP="00852A79">
      <w:pPr>
        <w:rPr>
          <w:lang w:val="en-US"/>
        </w:rPr>
      </w:pPr>
      <w:r>
        <w:rPr>
          <w:lang w:val="en-US"/>
        </w:rPr>
        <w:t xml:space="preserve">This allows resource sharing for any number of ports independent of density, except for the case </w:t>
      </w:r>
      <m:oMath>
        <m:r>
          <w:rPr>
            <w:rFonts w:ascii="Cambria Math" w:hAnsi="Cambria Math"/>
            <w:lang w:val="en-US"/>
          </w:rPr>
          <m:t>ρ=3</m:t>
        </m:r>
      </m:oMath>
      <w:r>
        <w:rPr>
          <w:lang w:val="en-US"/>
        </w:rPr>
        <w:t xml:space="preserve">. </w:t>
      </w:r>
      <w:r w:rsidR="00156291">
        <w:rPr>
          <w:lang w:val="en-US"/>
        </w:rPr>
        <w:t xml:space="preserve">We note that this proposal maintains the working assumption for the cases of </w:t>
      </w:r>
      <m:oMath>
        <m:r>
          <w:rPr>
            <w:rFonts w:ascii="Cambria Math" w:hAnsi="Cambria Math"/>
            <w:lang w:val="en-US"/>
          </w:rPr>
          <m:t>ρ=1, X&gt;1</m:t>
        </m:r>
      </m:oMath>
      <w:r w:rsidR="00156291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ρ=3, X=1</m:t>
        </m:r>
      </m:oMath>
      <w:r w:rsidR="00156291">
        <w:rPr>
          <w:lang w:val="en-US"/>
        </w:rPr>
        <w:t>. Since most imple</w:t>
      </w:r>
      <w:proofErr w:type="spellStart"/>
      <w:r w:rsidR="00156291">
        <w:rPr>
          <w:lang w:val="en-US"/>
        </w:rPr>
        <w:t>mentations</w:t>
      </w:r>
      <w:proofErr w:type="spellEnd"/>
      <w:r w:rsidR="00156291">
        <w:rPr>
          <w:lang w:val="en-US"/>
        </w:rPr>
        <w:t xml:space="preserve"> would presumably dimension sequence lengths for these cases anyway, the above proposal to not require the UE to generate sequences any longer than the original working assumption. </w:t>
      </w:r>
    </w:p>
    <w:p w14:paraId="02CD95AB" w14:textId="7EFFC80B" w:rsidR="00052E93" w:rsidRPr="00052E93" w:rsidRDefault="00052E93" w:rsidP="00052E93">
      <w:pPr>
        <w:rPr>
          <w:lang w:val="en-US"/>
        </w:rPr>
      </w:pPr>
      <w:r>
        <w:rPr>
          <w:lang w:val="en-US"/>
        </w:rPr>
        <w:t>According to the</w:t>
      </w:r>
      <w:r w:rsidR="004A16A0">
        <w:rPr>
          <w:lang w:val="en-US"/>
        </w:rPr>
        <w:t xml:space="preserve"> above</w:t>
      </w:r>
      <w:r>
        <w:rPr>
          <w:lang w:val="en-US"/>
        </w:rPr>
        <w:t xml:space="preserve"> proposal</w:t>
      </w:r>
      <w:r w:rsidR="004A16A0">
        <w:rPr>
          <w:lang w:val="en-US"/>
        </w:rPr>
        <w:t xml:space="preserve"> (in the case of</w:t>
      </w:r>
      <w:r w:rsidR="004A16A0" w:rsidRPr="00052E93">
        <w:rPr>
          <w:lang w:val="en-US"/>
        </w:rPr>
        <w:t xml:space="preserve"> </w:t>
      </w:r>
      <m:oMath>
        <m:r>
          <w:rPr>
            <w:rFonts w:ascii="Cambria Math" w:hAnsi="Cambria Math"/>
          </w:rPr>
          <m:t>ρ</m:t>
        </m:r>
      </m:oMath>
      <w:r w:rsidRPr="00052E93">
        <w:t>&lt;3</w:t>
      </w:r>
      <w:r w:rsidR="004A16A0">
        <w:t>)</w:t>
      </w:r>
      <w:r w:rsidRPr="00052E93">
        <w:rPr>
          <w:lang w:val="en-US"/>
        </w:rPr>
        <w:t xml:space="preserve"> the sequence used on a given subcarrier may be derived</w:t>
      </w:r>
      <w:r w:rsidR="00C7505C">
        <w:rPr>
          <w:lang w:val="en-US"/>
        </w:rPr>
        <w:t xml:space="preserve"> (assuming</w:t>
      </w:r>
      <w:r w:rsidR="007D35CC" w:rsidRPr="007D35CC">
        <w:rPr>
          <w:i/>
        </w:rPr>
        <w:t xml:space="preserve"> </w:t>
      </w:r>
      <w:proofErr w:type="spellStart"/>
      <w:r w:rsidR="007D35CC">
        <w:rPr>
          <w:i/>
        </w:rPr>
        <w:t>ScramblingID</w:t>
      </w:r>
      <w:proofErr w:type="spellEnd"/>
      <w:r w:rsidR="007D35CC">
        <w:rPr>
          <w:lang w:val="en-US"/>
        </w:rPr>
        <w:t xml:space="preserve"> is</w:t>
      </w:r>
      <w:r w:rsidR="00C7505C">
        <w:rPr>
          <w:lang w:val="en-US"/>
        </w:rPr>
        <w:t xml:space="preserve"> known)</w:t>
      </w:r>
      <w:r w:rsidRPr="00052E93">
        <w:rPr>
          <w:lang w:val="en-US"/>
        </w:rPr>
        <w:t xml:space="preserve"> from the absolute subcarrier index – it is independent </w:t>
      </w:r>
      <w:r w:rsidR="00D447E4">
        <w:rPr>
          <w:lang w:val="en-US"/>
        </w:rPr>
        <w:t>of</w:t>
      </w:r>
      <w:r w:rsidRPr="00052E93">
        <w:rPr>
          <w:lang w:val="en-US"/>
        </w:rPr>
        <w:t xml:space="preserve"> the number of ports in the CSI-RS resource. </w:t>
      </w:r>
      <w:r w:rsidR="00156291">
        <w:rPr>
          <w:lang w:val="en-US"/>
        </w:rPr>
        <w:t>From a forward compatibility perspective, this can</w:t>
      </w:r>
      <w:r w:rsidRPr="00052E93">
        <w:rPr>
          <w:lang w:val="en-US"/>
        </w:rPr>
        <w:t xml:space="preserve"> prove </w:t>
      </w:r>
      <w:r w:rsidR="00156291">
        <w:rPr>
          <w:lang w:val="en-US"/>
        </w:rPr>
        <w:t xml:space="preserve">to be </w:t>
      </w:r>
      <w:r w:rsidRPr="00052E93">
        <w:rPr>
          <w:lang w:val="en-US"/>
        </w:rPr>
        <w:t>beneficial for advanced interference cancelling schemes.</w:t>
      </w:r>
    </w:p>
    <w:p w14:paraId="73D20A15" w14:textId="74085497" w:rsidR="006A618C" w:rsidRDefault="00B22552" w:rsidP="00852A79">
      <w:pPr>
        <w:rPr>
          <w:lang w:val="en-US"/>
        </w:rPr>
      </w:pPr>
      <w:r>
        <w:rPr>
          <w:lang w:val="en-US"/>
        </w:rPr>
        <w:t xml:space="preserve">To illustrate the proposal, revisit the example above, and assume an X=8 port case. </w:t>
      </w:r>
      <w:r w:rsidR="00156291">
        <w:rPr>
          <w:lang w:val="en-US"/>
        </w:rPr>
        <w:t>A</w:t>
      </w:r>
      <w:r w:rsidR="004A16A0">
        <w:rPr>
          <w:lang w:val="en-US"/>
        </w:rPr>
        <w:t>ccording to the</w:t>
      </w:r>
      <w:r>
        <w:rPr>
          <w:lang w:val="en-US"/>
        </w:rPr>
        <w:t xml:space="preserve"> working assumption, sequences are mapped as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_Ref505687200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>. In this case the t</w:t>
      </w:r>
      <w:r w:rsidR="000E6423">
        <w:rPr>
          <w:lang w:val="en-US"/>
        </w:rPr>
        <w:t>ransmitted CSI-RS resources can</w:t>
      </w:r>
      <w:r>
        <w:rPr>
          <w:lang w:val="en-US"/>
        </w:rPr>
        <w:t xml:space="preserve">not be shared (even if </w:t>
      </w:r>
      <w:r w:rsidR="00F8701D">
        <w:t xml:space="preserve">higher-layer parameter </w:t>
      </w:r>
      <w:proofErr w:type="spellStart"/>
      <w:r w:rsidR="00F8701D">
        <w:rPr>
          <w:i/>
        </w:rPr>
        <w:t>ScramblingID</w:t>
      </w:r>
      <w:proofErr w:type="spellEnd"/>
      <w:r>
        <w:rPr>
          <w:lang w:val="en-US"/>
        </w:rPr>
        <w:t xml:space="preserve"> is identical), </w:t>
      </w:r>
      <w:r w:rsidR="000D4D2B">
        <w:rPr>
          <w:lang w:val="en-US"/>
        </w:rPr>
        <w:t>as</w:t>
      </w:r>
      <w:r>
        <w:rPr>
          <w:lang w:val="en-US"/>
        </w:rPr>
        <w:t xml:space="preserve"> UE1 and UE2 will expect different sequences. Hence orthogonal resource</w:t>
      </w:r>
      <w:r w:rsidR="000D4D2B">
        <w:rPr>
          <w:lang w:val="en-US"/>
        </w:rPr>
        <w:t>s</w:t>
      </w:r>
      <w:r>
        <w:rPr>
          <w:lang w:val="en-US"/>
        </w:rPr>
        <w:t xml:space="preserve"> need to be assigned</w:t>
      </w:r>
      <w:r w:rsidR="00156291">
        <w:rPr>
          <w:lang w:val="en-US"/>
        </w:rPr>
        <w:t xml:space="preserve"> to the two UEs which is undesirable from a resource consumption point of view</w:t>
      </w:r>
      <w:r>
        <w:rPr>
          <w:lang w:val="en-US"/>
        </w:rPr>
        <w:t>.</w:t>
      </w:r>
    </w:p>
    <w:p w14:paraId="4B5D2CB1" w14:textId="26245CB3" w:rsidR="00B22552" w:rsidRDefault="00B22552" w:rsidP="00B22552">
      <w:pPr>
        <w:keepNext/>
      </w:pPr>
      <w:r w:rsidRPr="00B22552">
        <w:rPr>
          <w:noProof/>
        </w:rPr>
        <w:drawing>
          <wp:inline distT="0" distB="0" distL="0" distR="0" wp14:anchorId="7F0B5747" wp14:editId="43C84CD8">
            <wp:extent cx="5943600" cy="219716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97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321C0" w14:textId="6D3BE514" w:rsidR="001D3AA2" w:rsidRDefault="00B22552" w:rsidP="00B22552">
      <w:pPr>
        <w:pStyle w:val="Caption"/>
      </w:pPr>
      <w:bookmarkStart w:id="5" w:name="_Ref5056872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1BA2">
        <w:rPr>
          <w:noProof/>
        </w:rPr>
        <w:t>3</w:t>
      </w:r>
      <w:r>
        <w:fldChar w:fldCharType="end"/>
      </w:r>
      <w:bookmarkEnd w:id="5"/>
      <w:r>
        <w:tab/>
        <w:t>Example of sequence mapping</w:t>
      </w:r>
      <w:r w:rsidR="00DC636C">
        <w:t xml:space="preserve"> in RB n=5</w:t>
      </w:r>
      <w:r>
        <w:t xml:space="preserve"> according to the current working assumption</w:t>
      </w:r>
      <w:r w:rsidR="00DC636C">
        <w:t>.</w:t>
      </w:r>
    </w:p>
    <w:p w14:paraId="69AEBE0F" w14:textId="653651B6" w:rsidR="00B22552" w:rsidRDefault="004A16A0" w:rsidP="00B22552">
      <w:r>
        <w:t xml:space="preserve">In contrast, according to </w:t>
      </w:r>
      <w:r w:rsidR="00B22552">
        <w:t xml:space="preserve">the </w:t>
      </w:r>
      <w:r w:rsidR="00FF656C">
        <w:t>proposed modification</w:t>
      </w:r>
      <w:r>
        <w:t>,</w:t>
      </w:r>
      <w:r w:rsidR="00DC636C">
        <w:t xml:space="preserve"> the sequence mapping</w:t>
      </w:r>
      <w:r w:rsidR="000F1BA2">
        <w:t xml:space="preserve"> for UE2 </w:t>
      </w:r>
      <w:r w:rsidR="00DC636C">
        <w:t xml:space="preserve">in the same RB </w:t>
      </w:r>
      <w:r w:rsidR="000F1BA2">
        <w:t xml:space="preserve">is shown in </w:t>
      </w:r>
      <w:r w:rsidR="000F1BA2">
        <w:fldChar w:fldCharType="begin"/>
      </w:r>
      <w:r w:rsidR="000F1BA2">
        <w:instrText xml:space="preserve"> REF _Ref505687772 \h </w:instrText>
      </w:r>
      <w:r w:rsidR="000F1BA2">
        <w:fldChar w:fldCharType="separate"/>
      </w:r>
      <w:r w:rsidR="000F1BA2">
        <w:t xml:space="preserve">Figure </w:t>
      </w:r>
      <w:r w:rsidR="000F1BA2">
        <w:rPr>
          <w:noProof/>
        </w:rPr>
        <w:t>4</w:t>
      </w:r>
      <w:r w:rsidR="000F1BA2">
        <w:fldChar w:fldCharType="end"/>
      </w:r>
      <w:r w:rsidR="000F1BA2">
        <w:t xml:space="preserve">. </w:t>
      </w:r>
      <w:r>
        <w:t xml:space="preserve">Note that sequence mapping for UE1 is unchanged compared to the working assumption. </w:t>
      </w:r>
      <w:r w:rsidR="000F1BA2">
        <w:t>In this case the same transmitted CSI-RS r</w:t>
      </w:r>
      <w:r w:rsidR="00F8701D">
        <w:t xml:space="preserve">esource may be used by both UEs – this will </w:t>
      </w:r>
      <w:r>
        <w:t xml:space="preserve">save </w:t>
      </w:r>
      <w:r w:rsidR="00F8701D">
        <w:t>CSI-RS overhead.</w:t>
      </w:r>
    </w:p>
    <w:p w14:paraId="2B1CFC45" w14:textId="77777777" w:rsidR="000F1BA2" w:rsidRDefault="000F1BA2" w:rsidP="000F1BA2">
      <w:pPr>
        <w:keepNext/>
      </w:pPr>
      <w:r w:rsidRPr="000F1BA2">
        <w:rPr>
          <w:noProof/>
        </w:rPr>
        <w:lastRenderedPageBreak/>
        <w:drawing>
          <wp:inline distT="0" distB="0" distL="0" distR="0" wp14:anchorId="631C495C" wp14:editId="3D18EDFC">
            <wp:extent cx="5943600" cy="102575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25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FA5E9" w14:textId="6A028A4F" w:rsidR="000F1BA2" w:rsidRDefault="000F1BA2" w:rsidP="000F1BA2">
      <w:pPr>
        <w:pStyle w:val="Caption"/>
      </w:pPr>
      <w:bookmarkStart w:id="6" w:name="_Ref5056877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ab/>
        <w:t>Example of sequence mapping in RB n=5 for UE2 according to the proposal.</w:t>
      </w:r>
    </w:p>
    <w:p w14:paraId="218CAA28" w14:textId="16316324" w:rsidR="000F1BA2" w:rsidRPr="00C133E1" w:rsidRDefault="001A16B4" w:rsidP="001A16B4">
      <w:pPr>
        <w:pStyle w:val="Heading2"/>
      </w:pPr>
      <w:r w:rsidRPr="00C133E1">
        <w:t>On additional periodicities for CSI-RS</w:t>
      </w:r>
    </w:p>
    <w:p w14:paraId="26785E21" w14:textId="77777777" w:rsidR="00C133E1" w:rsidRDefault="00C133E1" w:rsidP="00C133E1">
      <w:pPr>
        <w:pStyle w:val="CommentText"/>
        <w:spacing w:after="0"/>
        <w:rPr>
          <w:rFonts w:cs="Arial"/>
        </w:rPr>
      </w:pPr>
      <w:bookmarkStart w:id="7" w:name="_Hlk506481364"/>
      <w:r w:rsidRPr="0060117D">
        <w:rPr>
          <w:rFonts w:cs="Arial"/>
        </w:rPr>
        <w:t>In RAN1#91 it was agreed that for cell-specific RRC configuration of DL/UL assignment</w:t>
      </w:r>
      <w:r>
        <w:rPr>
          <w:rFonts w:cs="Arial"/>
        </w:rPr>
        <w:t>:</w:t>
      </w:r>
    </w:p>
    <w:p w14:paraId="72BFD4D4" w14:textId="77777777" w:rsidR="00C133E1" w:rsidRPr="0060117D" w:rsidRDefault="00C133E1" w:rsidP="00C133E1">
      <w:pPr>
        <w:pStyle w:val="CommentText"/>
        <w:spacing w:after="0"/>
        <w:rPr>
          <w:rFonts w:cs="Arial"/>
        </w:rPr>
      </w:pPr>
    </w:p>
    <w:p w14:paraId="4454B5BD" w14:textId="77777777" w:rsidR="00C133E1" w:rsidRPr="0060117D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</w:rPr>
      </w:pPr>
      <w:bookmarkStart w:id="8" w:name="_Hlk506480160"/>
      <w:r w:rsidRPr="0060117D">
        <w:rPr>
          <w:rFonts w:cs="Arial"/>
          <w:i/>
          <w:iCs/>
          <w:szCs w:val="20"/>
        </w:rPr>
        <w:t xml:space="preserve">Add additional periodicity </w:t>
      </w:r>
      <w:bookmarkEnd w:id="8"/>
      <w:r w:rsidRPr="0060117D">
        <w:rPr>
          <w:rFonts w:cs="Arial"/>
          <w:i/>
          <w:iCs/>
          <w:szCs w:val="20"/>
        </w:rPr>
        <w:t>0.625ms (for 120KHz SCS only), 1.25ms (for &gt;=60KHz SCS), and 2.5ms (for &gt;=30KHz SCS)</w:t>
      </w:r>
    </w:p>
    <w:p w14:paraId="00CCDCB8" w14:textId="77777777" w:rsidR="00C133E1" w:rsidRPr="0060117D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</w:rPr>
      </w:pPr>
      <w:r w:rsidRPr="0060117D">
        <w:rPr>
          <w:rFonts w:cs="Arial"/>
          <w:i/>
          <w:iCs/>
          <w:szCs w:val="20"/>
        </w:rPr>
        <w:t>Also support 2 concatenated DL-unknown-UL periodicity</w:t>
      </w:r>
    </w:p>
    <w:p w14:paraId="4E3C3624" w14:textId="77777777" w:rsidR="00C133E1" w:rsidRPr="0060117D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bookmarkStart w:id="9" w:name="_Hlk503423551"/>
      <w:r w:rsidRPr="0060117D">
        <w:rPr>
          <w:rFonts w:cs="Arial"/>
          <w:i/>
          <w:iCs/>
          <w:szCs w:val="20"/>
        </w:rPr>
        <w:t>Add 1 bit in semi-static DL/UL assignment to indicate if the second periodicity is included</w:t>
      </w:r>
    </w:p>
    <w:bookmarkEnd w:id="9"/>
    <w:p w14:paraId="76F5DEDD" w14:textId="77777777" w:rsidR="00C133E1" w:rsidRPr="0060117D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r w:rsidRPr="00BB5C0D">
        <w:rPr>
          <w:rFonts w:cs="Arial"/>
          <w:i/>
          <w:iCs/>
          <w:szCs w:val="20"/>
          <w:highlight w:val="yellow"/>
        </w:rPr>
        <w:t xml:space="preserve">The two periodicities form X </w:t>
      </w:r>
      <w:proofErr w:type="spellStart"/>
      <w:r w:rsidRPr="00BB5C0D">
        <w:rPr>
          <w:rFonts w:cs="Arial"/>
          <w:i/>
          <w:iCs/>
          <w:szCs w:val="20"/>
          <w:highlight w:val="yellow"/>
        </w:rPr>
        <w:t>ms</w:t>
      </w:r>
      <w:proofErr w:type="spellEnd"/>
      <w:r w:rsidRPr="00BB5C0D">
        <w:rPr>
          <w:rFonts w:cs="Arial"/>
          <w:i/>
          <w:iCs/>
          <w:szCs w:val="20"/>
          <w:highlight w:val="yellow"/>
        </w:rPr>
        <w:t xml:space="preserve"> + Y </w:t>
      </w:r>
      <w:proofErr w:type="spellStart"/>
      <w:r w:rsidRPr="00BB5C0D">
        <w:rPr>
          <w:rFonts w:cs="Arial"/>
          <w:i/>
          <w:iCs/>
          <w:szCs w:val="20"/>
          <w:highlight w:val="yellow"/>
        </w:rPr>
        <w:t>ms</w:t>
      </w:r>
      <w:proofErr w:type="spellEnd"/>
      <w:r w:rsidRPr="00BB5C0D">
        <w:rPr>
          <w:rFonts w:cs="Arial"/>
          <w:i/>
          <w:iCs/>
          <w:szCs w:val="20"/>
          <w:highlight w:val="yellow"/>
        </w:rPr>
        <w:t xml:space="preserve"> total periodicity, where X, and Y are from {0.5, 0.625, 1, 1.25, 2, 2.5, 5, 10} </w:t>
      </w:r>
      <w:proofErr w:type="spellStart"/>
      <w:r w:rsidRPr="00BB5C0D">
        <w:rPr>
          <w:rFonts w:cs="Arial"/>
          <w:i/>
          <w:iCs/>
          <w:szCs w:val="20"/>
          <w:highlight w:val="yellow"/>
        </w:rPr>
        <w:t>ms</w:t>
      </w:r>
      <w:proofErr w:type="spellEnd"/>
    </w:p>
    <w:p w14:paraId="5173BD25" w14:textId="77777777" w:rsidR="00C133E1" w:rsidRPr="0060117D" w:rsidRDefault="00C133E1" w:rsidP="00C133E1">
      <w:pPr>
        <w:pStyle w:val="ListParagraph"/>
        <w:widowControl w:val="0"/>
        <w:numPr>
          <w:ilvl w:val="2"/>
          <w:numId w:val="17"/>
        </w:numPr>
        <w:spacing w:after="0"/>
        <w:rPr>
          <w:rFonts w:cs="Arial"/>
          <w:i/>
          <w:iCs/>
        </w:rPr>
      </w:pPr>
      <w:r w:rsidRPr="0060117D">
        <w:rPr>
          <w:rFonts w:cs="Arial"/>
          <w:i/>
          <w:iCs/>
          <w:szCs w:val="20"/>
        </w:rPr>
        <w:t xml:space="preserve">When two </w:t>
      </w:r>
      <w:proofErr w:type="spellStart"/>
      <w:r w:rsidRPr="0060117D">
        <w:rPr>
          <w:rFonts w:cs="Arial"/>
          <w:i/>
          <w:iCs/>
          <w:szCs w:val="20"/>
        </w:rPr>
        <w:t>perodicities</w:t>
      </w:r>
      <w:proofErr w:type="spellEnd"/>
      <w:r w:rsidRPr="0060117D">
        <w:rPr>
          <w:rFonts w:cs="Arial"/>
          <w:i/>
          <w:iCs/>
          <w:szCs w:val="20"/>
        </w:rPr>
        <w:t xml:space="preserve"> are included, the corresponding parameters are independently configured</w:t>
      </w:r>
    </w:p>
    <w:p w14:paraId="602C0DD4" w14:textId="77777777" w:rsidR="00C133E1" w:rsidRPr="00BB5C0D" w:rsidRDefault="00C133E1" w:rsidP="00C133E1">
      <w:pPr>
        <w:pStyle w:val="ListParagraph"/>
        <w:widowControl w:val="0"/>
        <w:numPr>
          <w:ilvl w:val="2"/>
          <w:numId w:val="17"/>
        </w:numPr>
        <w:spacing w:after="0"/>
        <w:rPr>
          <w:rFonts w:cs="Arial"/>
          <w:i/>
          <w:iCs/>
          <w:szCs w:val="20"/>
          <w:highlight w:val="yellow"/>
        </w:rPr>
      </w:pPr>
      <w:r w:rsidRPr="00BB5C0D">
        <w:rPr>
          <w:rFonts w:cs="Arial"/>
          <w:i/>
          <w:iCs/>
          <w:szCs w:val="20"/>
          <w:highlight w:val="yellow"/>
        </w:rPr>
        <w:t>Note: it will be discussed to preclude some combinations (no additional higher-layer impact)</w:t>
      </w:r>
    </w:p>
    <w:bookmarkEnd w:id="7"/>
    <w:p w14:paraId="151B729B" w14:textId="77777777" w:rsidR="00C133E1" w:rsidRDefault="00C133E1" w:rsidP="00C133E1">
      <w:pPr>
        <w:pStyle w:val="BodyText"/>
        <w:spacing w:after="0"/>
      </w:pPr>
    </w:p>
    <w:p w14:paraId="5908700F" w14:textId="456C2FA7" w:rsidR="00C133E1" w:rsidRDefault="00C133E1" w:rsidP="00C133E1">
      <w:pPr>
        <w:pStyle w:val="BodyText"/>
      </w:pPr>
      <w:r>
        <w:t xml:space="preserve">To align with at least a subset of the newly agreed X + Y periodicities, the following agreement was made in RAN1 NR </w:t>
      </w:r>
      <w:proofErr w:type="spellStart"/>
      <w:r>
        <w:t>AdHoc</w:t>
      </w:r>
      <w:proofErr w:type="spellEnd"/>
      <w:r>
        <w:t xml:space="preserve"> 1801 to support additional periodicities for CSI-RS (and SRS):</w:t>
      </w:r>
    </w:p>
    <w:p w14:paraId="33BFE1CA" w14:textId="77777777" w:rsidR="00C133E1" w:rsidRPr="00BB5C0D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</w:rPr>
      </w:pPr>
      <w:r w:rsidRPr="00BB5C0D">
        <w:rPr>
          <w:rFonts w:cs="Arial"/>
          <w:i/>
          <w:iCs/>
          <w:szCs w:val="20"/>
        </w:rPr>
        <w:t xml:space="preserve">Introduce additional periodicities of </w:t>
      </w:r>
      <w:r w:rsidRPr="00BB5C0D">
        <w:rPr>
          <w:rFonts w:cs="Arial"/>
          <w:i/>
          <w:iCs/>
          <w:szCs w:val="20"/>
          <w:highlight w:val="yellow"/>
        </w:rPr>
        <w:t>{4,8,16,32,64} slots</w:t>
      </w:r>
      <w:r w:rsidRPr="00BB5C0D">
        <w:rPr>
          <w:rFonts w:cs="Arial"/>
          <w:i/>
          <w:iCs/>
          <w:szCs w:val="20"/>
        </w:rPr>
        <w:t xml:space="preserve"> and the corresponding slot offsets to at least the following periodic/semi-persistent RS:</w:t>
      </w:r>
    </w:p>
    <w:p w14:paraId="6345E343" w14:textId="77777777" w:rsidR="00C133E1" w:rsidRPr="00BB5C0D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r w:rsidRPr="00BB5C0D">
        <w:rPr>
          <w:rFonts w:cs="Arial"/>
          <w:i/>
          <w:iCs/>
          <w:szCs w:val="20"/>
        </w:rPr>
        <w:t>CSI-RS (includes ZP-CSI-RS and NZP-CSI-RS)</w:t>
      </w:r>
    </w:p>
    <w:p w14:paraId="0B2C7C3A" w14:textId="77777777" w:rsidR="00C133E1" w:rsidRPr="00BB5C0D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r w:rsidRPr="00BB5C0D">
        <w:rPr>
          <w:rFonts w:cs="Arial"/>
          <w:i/>
          <w:iCs/>
          <w:szCs w:val="20"/>
        </w:rPr>
        <w:t>SRS</w:t>
      </w:r>
    </w:p>
    <w:p w14:paraId="44A66C5A" w14:textId="77777777" w:rsidR="00C133E1" w:rsidRPr="00BB5C0D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  <w:highlight w:val="yellow"/>
        </w:rPr>
      </w:pPr>
      <w:r w:rsidRPr="00BB5C0D">
        <w:rPr>
          <w:rFonts w:cs="Arial"/>
          <w:i/>
          <w:iCs/>
          <w:szCs w:val="20"/>
          <w:highlight w:val="yellow"/>
        </w:rPr>
        <w:t>FFS on whether and how to align to additional periodicities as agreed in the frame structure agenda</w:t>
      </w:r>
    </w:p>
    <w:p w14:paraId="3F9783C6" w14:textId="77777777" w:rsidR="00C133E1" w:rsidRPr="00BB5C0D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  <w:highlight w:val="yellow"/>
        </w:rPr>
      </w:pPr>
      <w:r w:rsidRPr="00BB5C0D">
        <w:rPr>
          <w:rFonts w:cs="Arial"/>
          <w:i/>
          <w:iCs/>
          <w:szCs w:val="20"/>
          <w:highlight w:val="yellow"/>
        </w:rPr>
        <w:t xml:space="preserve">“The two periodicities form X </w:t>
      </w:r>
      <w:proofErr w:type="spellStart"/>
      <w:r w:rsidRPr="00BB5C0D">
        <w:rPr>
          <w:rFonts w:cs="Arial"/>
          <w:i/>
          <w:iCs/>
          <w:szCs w:val="20"/>
          <w:highlight w:val="yellow"/>
        </w:rPr>
        <w:t>ms</w:t>
      </w:r>
      <w:proofErr w:type="spellEnd"/>
      <w:r w:rsidRPr="00BB5C0D">
        <w:rPr>
          <w:rFonts w:cs="Arial"/>
          <w:i/>
          <w:iCs/>
          <w:szCs w:val="20"/>
          <w:highlight w:val="yellow"/>
        </w:rPr>
        <w:t xml:space="preserve"> + Y </w:t>
      </w:r>
      <w:proofErr w:type="spellStart"/>
      <w:r w:rsidRPr="00BB5C0D">
        <w:rPr>
          <w:rFonts w:cs="Arial"/>
          <w:i/>
          <w:iCs/>
          <w:szCs w:val="20"/>
          <w:highlight w:val="yellow"/>
        </w:rPr>
        <w:t>ms</w:t>
      </w:r>
      <w:proofErr w:type="spellEnd"/>
      <w:r w:rsidRPr="00BB5C0D">
        <w:rPr>
          <w:rFonts w:cs="Arial"/>
          <w:i/>
          <w:iCs/>
          <w:szCs w:val="20"/>
          <w:highlight w:val="yellow"/>
        </w:rPr>
        <w:t xml:space="preserve"> total periodicity, where X, and Y are from {0.5, 0.625, 1, 1.25, 2, 2.5, 5, 10} </w:t>
      </w:r>
      <w:proofErr w:type="spellStart"/>
      <w:r w:rsidRPr="00BB5C0D">
        <w:rPr>
          <w:rFonts w:cs="Arial"/>
          <w:i/>
          <w:iCs/>
          <w:szCs w:val="20"/>
          <w:highlight w:val="yellow"/>
        </w:rPr>
        <w:t>ms</w:t>
      </w:r>
      <w:proofErr w:type="spellEnd"/>
      <w:r w:rsidRPr="00BB5C0D">
        <w:rPr>
          <w:rFonts w:cs="Arial"/>
          <w:i/>
          <w:iCs/>
          <w:szCs w:val="20"/>
          <w:highlight w:val="yellow"/>
        </w:rPr>
        <w:t>”</w:t>
      </w:r>
    </w:p>
    <w:p w14:paraId="32A71CEB" w14:textId="77777777" w:rsidR="00C133E1" w:rsidRPr="00BB5C0D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i/>
          <w:lang w:eastAsia="x-none"/>
        </w:rPr>
      </w:pPr>
      <w:r w:rsidRPr="00BB5C0D">
        <w:rPr>
          <w:rFonts w:cs="Arial"/>
          <w:i/>
          <w:iCs/>
          <w:szCs w:val="20"/>
        </w:rPr>
        <w:t>FFS on CSI-IM periodicity of 1 slot</w:t>
      </w:r>
    </w:p>
    <w:p w14:paraId="500D42FB" w14:textId="77777777" w:rsidR="00C133E1" w:rsidRDefault="00C133E1" w:rsidP="00C133E1">
      <w:pPr>
        <w:overflowPunct/>
        <w:autoSpaceDE/>
        <w:autoSpaceDN/>
        <w:adjustRightInd/>
        <w:spacing w:after="0"/>
        <w:jc w:val="left"/>
        <w:textAlignment w:val="auto"/>
        <w:rPr>
          <w:highlight w:val="yellow"/>
        </w:rPr>
      </w:pPr>
    </w:p>
    <w:p w14:paraId="27CF6855" w14:textId="3C39A529" w:rsidR="00C133E1" w:rsidRDefault="00C133E1" w:rsidP="00C133E1">
      <w:pPr>
        <w:rPr>
          <w:lang w:val="en-US"/>
        </w:rPr>
      </w:pPr>
      <w:r>
        <w:rPr>
          <w:lang w:val="en-US"/>
        </w:rPr>
        <w:t>The remaining FFS point is whether or not to support yet even more periodicities for CSI-RS/SRS to align with all possibilities for X + Y. Here we argue that no additional CSI-RS/SRS periodicities are needed.</w:t>
      </w:r>
    </w:p>
    <w:p w14:paraId="5AE253DA" w14:textId="77777777" w:rsidR="00C133E1" w:rsidRDefault="00C133E1" w:rsidP="00C133E1">
      <w:pPr>
        <w:pStyle w:val="BodyText"/>
        <w:rPr>
          <w:lang w:val="en-US"/>
        </w:rPr>
      </w:pPr>
      <w:r>
        <w:rPr>
          <w:lang w:val="en-US"/>
        </w:rPr>
        <w:t xml:space="preserve">As mentioned in the first agreement above, it will be discussed to preclude some combinations of X + Y. As it turns out, many of the X + Y combinations must be precluded because they do not align with the periodicity of SSB. Since SSB is a vital signal for system operation, it cannot be dropped. Hence, any semi-statically configured DL/UL configuration must have a downlink slot occurrence that aligns with the SSB periodicity that a UE assumes upon initial access, i.e., 20 </w:t>
      </w:r>
      <w:proofErr w:type="spellStart"/>
      <w:r>
        <w:rPr>
          <w:lang w:val="en-US"/>
        </w:rPr>
        <w:t>ms.</w:t>
      </w:r>
      <w:proofErr w:type="spellEnd"/>
      <w:r>
        <w:rPr>
          <w:lang w:val="en-US"/>
        </w:rPr>
        <w:t xml:space="preserve"> Based on this, we propose the following preclusion rule (see also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_Ref506557732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_Ref506557735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):</w:t>
      </w:r>
    </w:p>
    <w:p w14:paraId="37B7BD45" w14:textId="77777777" w:rsidR="00C133E1" w:rsidRPr="00BB5C0D" w:rsidRDefault="00C133E1" w:rsidP="00C133E1">
      <w:pPr>
        <w:pStyle w:val="Proposal"/>
      </w:pPr>
      <w:bookmarkStart w:id="10" w:name="_Toc506558803"/>
      <w:bookmarkStart w:id="11" w:name="_Toc506558838"/>
      <w:bookmarkStart w:id="12" w:name="_Toc506560690"/>
      <w:r w:rsidRPr="00A82598">
        <w:t xml:space="preserve">For cell-specific RRC configuration of DL/UL assignment, the configured </w:t>
      </w:r>
      <w:r>
        <w:t xml:space="preserve">DL/UL </w:t>
      </w:r>
      <w:r w:rsidRPr="00A82598">
        <w:t xml:space="preserve">pattern </w:t>
      </w:r>
      <w:r>
        <w:t>duration</w:t>
      </w:r>
      <w:r w:rsidRPr="00A82598">
        <w:t xml:space="preserve"> </w:t>
      </w:r>
      <w:r>
        <w:t xml:space="preserve">(periodicity) </w:t>
      </w:r>
      <w:r w:rsidRPr="00A82598">
        <w:t xml:space="preserve">shall divide 20 </w:t>
      </w:r>
      <w:proofErr w:type="spellStart"/>
      <w:r w:rsidRPr="00A82598">
        <w:t>ms</w:t>
      </w:r>
      <w:proofErr w:type="spellEnd"/>
      <w:r w:rsidRPr="00A82598">
        <w:t xml:space="preserve"> evenly</w:t>
      </w:r>
      <w:r>
        <w:t>.</w:t>
      </w:r>
      <w:r>
        <w:br/>
      </w:r>
      <w:r>
        <w:rPr>
          <w:rFonts w:ascii="Cambria Math" w:hAnsi="Cambria Math"/>
        </w:rPr>
        <w:t xml:space="preserve">  -</w:t>
      </w:r>
      <w:r>
        <w:rPr>
          <w:rFonts w:ascii="Cambria Math" w:hAnsi="Cambria Math"/>
        </w:rPr>
        <w:tab/>
      </w:r>
      <w:r w:rsidRPr="00972528">
        <w:t xml:space="preserve">That is, if only one periodicity is configured, X shall divide 20 </w:t>
      </w:r>
      <w:proofErr w:type="spellStart"/>
      <w:r w:rsidRPr="00972528">
        <w:t>ms</w:t>
      </w:r>
      <w:proofErr w:type="spellEnd"/>
      <w:r w:rsidRPr="00972528">
        <w:t xml:space="preserve"> evenly. If two periodicities are configured, X+Y shall divide 20 </w:t>
      </w:r>
      <w:proofErr w:type="spellStart"/>
      <w:r w:rsidRPr="00972528">
        <w:t>ms</w:t>
      </w:r>
      <w:proofErr w:type="spellEnd"/>
      <w:r w:rsidRPr="00972528">
        <w:t xml:space="preserve"> evenly</w:t>
      </w:r>
      <w:r w:rsidRPr="0060117D">
        <w:rPr>
          <w:b w:val="0"/>
        </w:rPr>
        <w:t>.</w:t>
      </w:r>
      <w:bookmarkEnd w:id="10"/>
      <w:bookmarkEnd w:id="11"/>
      <w:bookmarkEnd w:id="12"/>
    </w:p>
    <w:p w14:paraId="1EE4C933" w14:textId="25603142" w:rsidR="00C133E1" w:rsidRDefault="00C133E1" w:rsidP="00C133E1">
      <w:pPr>
        <w:pStyle w:val="BodyText"/>
      </w:pPr>
      <w:r>
        <w:t xml:space="preserve">With this </w:t>
      </w:r>
      <w:r w:rsidRPr="00BB5C0D">
        <w:t>preclusion</w:t>
      </w:r>
      <w:r>
        <w:t xml:space="preserve"> rule, the only values of X or X+Y that divide 20 </w:t>
      </w:r>
      <w:proofErr w:type="spellStart"/>
      <w:r>
        <w:t>ms</w:t>
      </w:r>
      <w:proofErr w:type="spellEnd"/>
      <w:r>
        <w:t xml:space="preserve"> evenly are {</w:t>
      </w:r>
      <w:r w:rsidRPr="002B4534">
        <w:t xml:space="preserve">0.5, 0.625, </w:t>
      </w:r>
      <w:r>
        <w:t>1, 1.</w:t>
      </w:r>
      <w:r w:rsidRPr="002B4534">
        <w:t>25, 2, 2.5, 4, 5, 10, and 20</w:t>
      </w:r>
      <w:r>
        <w:t>}</w:t>
      </w:r>
      <w:r w:rsidRPr="002B4534">
        <w:t xml:space="preserve"> </w:t>
      </w:r>
      <w:proofErr w:type="spellStart"/>
      <w:r w:rsidRPr="002B4534">
        <w:t>ms</w:t>
      </w:r>
      <w:proofErr w:type="spellEnd"/>
      <w:r>
        <w:t>. Expressed in integer number of slots, the following DL/UL pattern duration (periodicities) are allowed for different SCS:</w:t>
      </w:r>
    </w:p>
    <w:p w14:paraId="764E81F9" w14:textId="05EA6A1B" w:rsidR="00437E11" w:rsidRDefault="00437E11" w:rsidP="00C133E1">
      <w:pPr>
        <w:pStyle w:val="BodyText"/>
      </w:pPr>
    </w:p>
    <w:p w14:paraId="0CF54795" w14:textId="77777777" w:rsidR="00437E11" w:rsidRDefault="00437E11" w:rsidP="00C133E1">
      <w:pPr>
        <w:pStyle w:val="BodyText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7"/>
        <w:gridCol w:w="800"/>
        <w:gridCol w:w="800"/>
        <w:gridCol w:w="800"/>
        <w:gridCol w:w="900"/>
        <w:gridCol w:w="900"/>
      </w:tblGrid>
      <w:tr w:rsidR="00C133E1" w14:paraId="3B4D03BC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767CB" w14:textId="77777777" w:rsidR="00C133E1" w:rsidRDefault="00C133E1" w:rsidP="00C133E1">
            <w:pPr>
              <w:spacing w:after="0"/>
              <w:jc w:val="center"/>
              <w:rPr>
                <w:rFonts w:ascii="Calibri" w:hAnsi="Calibri" w:cs="Calibri"/>
              </w:rPr>
            </w:pPr>
            <w:r>
              <w:lastRenderedPageBreak/>
              <w:t>DL/UL Pattern duration/periodicity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5AE6A" w14:textId="77777777" w:rsidR="00C133E1" w:rsidRDefault="00C133E1" w:rsidP="00C133E1">
            <w:pPr>
              <w:spacing w:after="0"/>
              <w:jc w:val="center"/>
            </w:pPr>
            <w:r>
              <w:t>15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0DFEA" w14:textId="77777777" w:rsidR="00C133E1" w:rsidRDefault="00C133E1" w:rsidP="00C133E1">
            <w:pPr>
              <w:spacing w:after="0"/>
              <w:jc w:val="center"/>
            </w:pPr>
            <w:r>
              <w:t>30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AF1D2" w14:textId="77777777" w:rsidR="00C133E1" w:rsidRDefault="00C133E1" w:rsidP="00C133E1">
            <w:pPr>
              <w:spacing w:after="0"/>
              <w:jc w:val="center"/>
            </w:pPr>
            <w:r>
              <w:t>60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BC8A5" w14:textId="77777777" w:rsidR="00C133E1" w:rsidRDefault="00C133E1" w:rsidP="00C133E1">
            <w:pPr>
              <w:spacing w:after="0"/>
              <w:jc w:val="center"/>
            </w:pPr>
            <w:r>
              <w:t>120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D6D74" w14:textId="77777777" w:rsidR="00C133E1" w:rsidRDefault="00C133E1" w:rsidP="00C133E1">
            <w:pPr>
              <w:spacing w:after="0"/>
              <w:jc w:val="center"/>
            </w:pPr>
            <w:r>
              <w:t>240 kHz</w:t>
            </w:r>
          </w:p>
        </w:tc>
      </w:tr>
      <w:tr w:rsidR="00C133E1" w14:paraId="0EC15B2C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5223C" w14:textId="77777777" w:rsidR="00C133E1" w:rsidRDefault="00C133E1" w:rsidP="00C133E1">
            <w:pPr>
              <w:spacing w:after="0"/>
              <w:jc w:val="center"/>
            </w:pPr>
            <w:r>
              <w:t>0.5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F1098" w14:textId="77777777" w:rsidR="00C133E1" w:rsidRDefault="00C133E1" w:rsidP="00C133E1">
            <w:pPr>
              <w:spacing w:after="0"/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C64EB" w14:textId="77777777" w:rsidR="00C133E1" w:rsidRDefault="00C133E1" w:rsidP="00C133E1">
            <w:pPr>
              <w:spacing w:after="0"/>
              <w:jc w:val="right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87312" w14:textId="77777777" w:rsidR="00C133E1" w:rsidRDefault="00C133E1" w:rsidP="00C133E1">
            <w:pPr>
              <w:spacing w:after="0"/>
              <w:jc w:val="right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3625D" w14:textId="77777777" w:rsidR="00C133E1" w:rsidRDefault="00C133E1" w:rsidP="00C133E1">
            <w:pPr>
              <w:spacing w:after="0"/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1680B" w14:textId="77777777" w:rsidR="00C133E1" w:rsidRDefault="00C133E1" w:rsidP="00C133E1">
            <w:pPr>
              <w:spacing w:after="0"/>
              <w:jc w:val="right"/>
            </w:pPr>
            <w:r>
              <w:t>8</w:t>
            </w:r>
          </w:p>
        </w:tc>
      </w:tr>
      <w:tr w:rsidR="00C133E1" w14:paraId="0BC26220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34D0D" w14:textId="77777777" w:rsidR="00C133E1" w:rsidRDefault="00C133E1" w:rsidP="00C133E1">
            <w:pPr>
              <w:spacing w:after="0"/>
              <w:jc w:val="center"/>
            </w:pPr>
            <w:r>
              <w:t>0.625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FA9B1" w14:textId="77777777" w:rsidR="00C133E1" w:rsidRDefault="00C133E1" w:rsidP="00C133E1">
            <w:pPr>
              <w:spacing w:after="0"/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DA718" w14:textId="77777777" w:rsidR="00C133E1" w:rsidRDefault="00C133E1" w:rsidP="00C133E1">
            <w:pPr>
              <w:spacing w:after="0"/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01B9D" w14:textId="77777777" w:rsidR="00C133E1" w:rsidRDefault="00C133E1" w:rsidP="00C133E1">
            <w:pPr>
              <w:spacing w:after="0"/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00BFC" w14:textId="77777777" w:rsidR="00C133E1" w:rsidRDefault="00C133E1" w:rsidP="00C133E1">
            <w:pPr>
              <w:spacing w:after="0"/>
              <w:jc w:val="right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893FF" w14:textId="77777777" w:rsidR="00C133E1" w:rsidRDefault="00C133E1" w:rsidP="00C133E1">
            <w:pPr>
              <w:spacing w:after="0"/>
            </w:pPr>
          </w:p>
        </w:tc>
      </w:tr>
      <w:tr w:rsidR="00C133E1" w14:paraId="0A4F1D55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B19DA" w14:textId="77777777" w:rsidR="00C133E1" w:rsidRDefault="00C133E1" w:rsidP="00C133E1">
            <w:pPr>
              <w:spacing w:after="0"/>
              <w:jc w:val="center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5B8AD2" w14:textId="77777777" w:rsidR="00C133E1" w:rsidRDefault="00C133E1" w:rsidP="00C133E1">
            <w:pPr>
              <w:spacing w:after="0"/>
              <w:jc w:val="right"/>
            </w:pPr>
            <w:r>
              <w:t>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99733" w14:textId="77777777" w:rsidR="00C133E1" w:rsidRDefault="00C133E1" w:rsidP="00C133E1">
            <w:pPr>
              <w:spacing w:after="0"/>
              <w:jc w:val="right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5A2B23" w14:textId="77777777" w:rsidR="00C133E1" w:rsidRDefault="00C133E1" w:rsidP="00C133E1">
            <w:pPr>
              <w:spacing w:after="0"/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5AC9E" w14:textId="77777777" w:rsidR="00C133E1" w:rsidRDefault="00C133E1" w:rsidP="00C133E1">
            <w:pPr>
              <w:spacing w:after="0"/>
              <w:jc w:val="right"/>
            </w:pPr>
            <w:r>
              <w:t>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BE724" w14:textId="77777777" w:rsidR="00C133E1" w:rsidRDefault="00C133E1" w:rsidP="00C133E1">
            <w:pPr>
              <w:spacing w:after="0"/>
              <w:jc w:val="right"/>
            </w:pPr>
            <w:r>
              <w:t>16</w:t>
            </w:r>
          </w:p>
        </w:tc>
      </w:tr>
      <w:tr w:rsidR="00C133E1" w14:paraId="7694A799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503C6" w14:textId="77777777" w:rsidR="00C133E1" w:rsidRDefault="00C133E1" w:rsidP="00C133E1">
            <w:pPr>
              <w:spacing w:after="0"/>
              <w:jc w:val="center"/>
            </w:pPr>
            <w:r>
              <w:t>1.25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E77C1" w14:textId="77777777" w:rsidR="00C133E1" w:rsidRDefault="00C133E1" w:rsidP="00C133E1">
            <w:pPr>
              <w:spacing w:after="0"/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50320" w14:textId="77777777" w:rsidR="00C133E1" w:rsidRDefault="00C133E1" w:rsidP="00C133E1">
            <w:pPr>
              <w:spacing w:after="0"/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5BE90" w14:textId="77777777" w:rsidR="00C133E1" w:rsidRDefault="00C133E1" w:rsidP="00C133E1">
            <w:pPr>
              <w:spacing w:after="0"/>
              <w:jc w:val="right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C6F48" w14:textId="77777777" w:rsidR="00C133E1" w:rsidRDefault="00C133E1" w:rsidP="00C133E1">
            <w:pPr>
              <w:spacing w:after="0"/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15F63F" w14:textId="77777777" w:rsidR="00C133E1" w:rsidRDefault="00C133E1" w:rsidP="00C133E1">
            <w:pPr>
              <w:spacing w:after="0"/>
              <w:jc w:val="right"/>
            </w:pPr>
            <w:r>
              <w:t>20</w:t>
            </w:r>
          </w:p>
        </w:tc>
      </w:tr>
      <w:tr w:rsidR="00C133E1" w14:paraId="7DAE8BCC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E9B2F" w14:textId="77777777" w:rsidR="00C133E1" w:rsidRDefault="00C133E1" w:rsidP="00C133E1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C424A1" w14:textId="77777777" w:rsidR="00C133E1" w:rsidRDefault="00C133E1" w:rsidP="00C133E1">
            <w:pPr>
              <w:spacing w:after="0"/>
              <w:jc w:val="right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E040F" w14:textId="77777777" w:rsidR="00C133E1" w:rsidRDefault="00C133E1" w:rsidP="00C133E1">
            <w:pPr>
              <w:spacing w:after="0"/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AEAFE8" w14:textId="77777777" w:rsidR="00C133E1" w:rsidRDefault="00C133E1" w:rsidP="00C133E1">
            <w:pPr>
              <w:spacing w:after="0"/>
              <w:jc w:val="right"/>
            </w:pPr>
            <w:r>
              <w:t>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F25CD" w14:textId="77777777" w:rsidR="00C133E1" w:rsidRDefault="00C133E1" w:rsidP="00C133E1">
            <w:pPr>
              <w:spacing w:after="0"/>
              <w:jc w:val="right"/>
            </w:pPr>
            <w:r>
              <w:t>16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3776" w14:textId="77777777" w:rsidR="00C133E1" w:rsidRDefault="00C133E1" w:rsidP="00C133E1">
            <w:pPr>
              <w:spacing w:after="0"/>
              <w:jc w:val="right"/>
            </w:pPr>
            <w:r>
              <w:t>32</w:t>
            </w:r>
          </w:p>
        </w:tc>
      </w:tr>
      <w:tr w:rsidR="00C133E1" w14:paraId="16CF4FD7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5FA76" w14:textId="77777777" w:rsidR="00C133E1" w:rsidRDefault="00C133E1" w:rsidP="00C133E1">
            <w:pPr>
              <w:spacing w:after="0"/>
              <w:jc w:val="center"/>
            </w:pPr>
            <w:r>
              <w:t>2.5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64354" w14:textId="77777777" w:rsidR="00C133E1" w:rsidRDefault="00C133E1" w:rsidP="00C133E1">
            <w:pPr>
              <w:spacing w:after="0"/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1CBC7" w14:textId="77777777" w:rsidR="00C133E1" w:rsidRDefault="00C133E1" w:rsidP="00C133E1">
            <w:pPr>
              <w:spacing w:after="0"/>
              <w:jc w:val="right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35819" w14:textId="77777777" w:rsidR="00C133E1" w:rsidRDefault="00C133E1" w:rsidP="00C133E1">
            <w:pPr>
              <w:spacing w:after="0"/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7A9DF" w14:textId="77777777" w:rsidR="00C133E1" w:rsidRDefault="00C133E1" w:rsidP="00C133E1">
            <w:pPr>
              <w:spacing w:after="0"/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CB457" w14:textId="77777777" w:rsidR="00C133E1" w:rsidRDefault="00C133E1" w:rsidP="00C133E1">
            <w:pPr>
              <w:spacing w:after="0"/>
              <w:jc w:val="right"/>
            </w:pPr>
            <w:r>
              <w:t>40</w:t>
            </w:r>
          </w:p>
        </w:tc>
      </w:tr>
      <w:tr w:rsidR="00C133E1" w14:paraId="01D8DF26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6A39A" w14:textId="77777777" w:rsidR="00C133E1" w:rsidRDefault="00C133E1" w:rsidP="00C133E1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F2324" w14:textId="77777777" w:rsidR="00C133E1" w:rsidRDefault="00C133E1" w:rsidP="00C133E1">
            <w:pPr>
              <w:spacing w:after="0"/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3C789" w14:textId="77777777" w:rsidR="00C133E1" w:rsidRDefault="00C133E1" w:rsidP="00C133E1">
            <w:pPr>
              <w:spacing w:after="0"/>
              <w:jc w:val="right"/>
            </w:pPr>
            <w:r>
              <w:t>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ABA18" w14:textId="77777777" w:rsidR="00C133E1" w:rsidRDefault="00C133E1" w:rsidP="00C133E1">
            <w:pPr>
              <w:spacing w:after="0"/>
              <w:jc w:val="right"/>
            </w:pPr>
            <w:r>
              <w:t>16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21710" w14:textId="77777777" w:rsidR="00C133E1" w:rsidRDefault="00C133E1" w:rsidP="00C133E1">
            <w:pPr>
              <w:spacing w:after="0"/>
              <w:jc w:val="right"/>
            </w:pPr>
            <w:r>
              <w:t>32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BB3AE" w14:textId="77777777" w:rsidR="00C133E1" w:rsidRDefault="00C133E1" w:rsidP="00C133E1">
            <w:pPr>
              <w:spacing w:after="0"/>
              <w:jc w:val="right"/>
            </w:pPr>
            <w:r>
              <w:t>64</w:t>
            </w:r>
          </w:p>
        </w:tc>
      </w:tr>
      <w:tr w:rsidR="00C133E1" w14:paraId="3AFCBD73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56C79" w14:textId="77777777" w:rsidR="00C133E1" w:rsidRDefault="00C133E1" w:rsidP="00C133E1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F5C97" w14:textId="77777777" w:rsidR="00C133E1" w:rsidRDefault="00C133E1" w:rsidP="00C133E1">
            <w:pPr>
              <w:spacing w:after="0"/>
              <w:jc w:val="right"/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FD65D" w14:textId="77777777" w:rsidR="00C133E1" w:rsidRDefault="00C133E1" w:rsidP="00C133E1">
            <w:pPr>
              <w:spacing w:after="0"/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EF6887" w14:textId="77777777" w:rsidR="00C133E1" w:rsidRDefault="00C133E1" w:rsidP="00C133E1">
            <w:pPr>
              <w:spacing w:after="0"/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9EC77" w14:textId="77777777" w:rsidR="00C133E1" w:rsidRDefault="00C133E1" w:rsidP="00C133E1">
            <w:pPr>
              <w:spacing w:after="0"/>
              <w:jc w:val="right"/>
            </w:pPr>
            <w:r>
              <w:t>40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4180F3" w14:textId="77777777" w:rsidR="00C133E1" w:rsidRDefault="00C133E1" w:rsidP="00C133E1">
            <w:pPr>
              <w:spacing w:after="0"/>
              <w:jc w:val="right"/>
            </w:pPr>
            <w:r>
              <w:t>80</w:t>
            </w:r>
          </w:p>
        </w:tc>
      </w:tr>
      <w:tr w:rsidR="00C133E1" w14:paraId="75BE67B5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CB015" w14:textId="77777777" w:rsidR="00C133E1" w:rsidRDefault="00C133E1" w:rsidP="00C133E1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BDE29" w14:textId="77777777" w:rsidR="00C133E1" w:rsidRDefault="00C133E1" w:rsidP="00C133E1">
            <w:pPr>
              <w:spacing w:after="0"/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869E23" w14:textId="77777777" w:rsidR="00C133E1" w:rsidRDefault="00C133E1" w:rsidP="00C133E1">
            <w:pPr>
              <w:spacing w:after="0"/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D9D5A" w14:textId="77777777" w:rsidR="00C133E1" w:rsidRDefault="00C133E1" w:rsidP="00C133E1">
            <w:pPr>
              <w:spacing w:after="0"/>
              <w:jc w:val="right"/>
            </w:pPr>
            <w:r>
              <w:t>40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A4A1B" w14:textId="77777777" w:rsidR="00C133E1" w:rsidRDefault="00C133E1" w:rsidP="00C133E1">
            <w:pPr>
              <w:spacing w:after="0"/>
              <w:jc w:val="right"/>
            </w:pPr>
            <w:r>
              <w:t>80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9C16E" w14:textId="77777777" w:rsidR="00C133E1" w:rsidRDefault="00C133E1" w:rsidP="00C133E1">
            <w:pPr>
              <w:spacing w:after="0"/>
              <w:jc w:val="right"/>
            </w:pPr>
            <w:r>
              <w:t>160</w:t>
            </w:r>
          </w:p>
        </w:tc>
      </w:tr>
      <w:tr w:rsidR="00C133E1" w14:paraId="2F39687E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9D8749" w14:textId="77777777" w:rsidR="00C133E1" w:rsidRDefault="00C133E1" w:rsidP="00C133E1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BD12A" w14:textId="77777777" w:rsidR="00C133E1" w:rsidRDefault="00C133E1" w:rsidP="00C133E1">
            <w:pPr>
              <w:spacing w:after="0"/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40356" w14:textId="77777777" w:rsidR="00C133E1" w:rsidRDefault="00C133E1" w:rsidP="00C133E1">
            <w:pPr>
              <w:spacing w:after="0"/>
              <w:jc w:val="right"/>
            </w:pPr>
            <w:r>
              <w:t>40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0D43B" w14:textId="77777777" w:rsidR="00C133E1" w:rsidRDefault="00C133E1" w:rsidP="00C133E1">
            <w:pPr>
              <w:spacing w:after="0"/>
              <w:jc w:val="right"/>
            </w:pPr>
            <w:r>
              <w:t>80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ABB0A" w14:textId="77777777" w:rsidR="00C133E1" w:rsidRDefault="00C133E1" w:rsidP="00C133E1">
            <w:pPr>
              <w:spacing w:after="0"/>
              <w:jc w:val="right"/>
            </w:pPr>
            <w:r>
              <w:t>160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66625" w14:textId="77777777" w:rsidR="00C133E1" w:rsidRDefault="00C133E1" w:rsidP="00C133E1">
            <w:pPr>
              <w:spacing w:after="0"/>
              <w:jc w:val="right"/>
            </w:pPr>
            <w:r>
              <w:t>320</w:t>
            </w:r>
          </w:p>
        </w:tc>
      </w:tr>
    </w:tbl>
    <w:p w14:paraId="486A7573" w14:textId="77777777" w:rsidR="00C133E1" w:rsidRPr="00BB5C0D" w:rsidRDefault="00C133E1" w:rsidP="00C133E1">
      <w:pPr>
        <w:pStyle w:val="BodyText"/>
      </w:pPr>
    </w:p>
    <w:p w14:paraId="3728A827" w14:textId="0502D331" w:rsidR="00C133E1" w:rsidRDefault="00C133E1" w:rsidP="00C133E1">
      <w:pPr>
        <w:pStyle w:val="BodyText"/>
        <w:rPr>
          <w:lang w:val="en-US"/>
        </w:rPr>
      </w:pPr>
      <w:r>
        <w:rPr>
          <w:lang w:val="en-US"/>
        </w:rPr>
        <w:t xml:space="preserve">Extracting the unique entries from this table, we arrive at the following list: {1, 2, 4, 5, 8, 10, 16, 20, 32, 40, 64, 80, 160, and 320} slots. Every one of these periodicity values </w:t>
      </w:r>
      <w:r w:rsidR="00B0146C">
        <w:rPr>
          <w:lang w:val="en-US"/>
        </w:rPr>
        <w:t xml:space="preserve">greater than or equal to 4 </w:t>
      </w:r>
      <w:r>
        <w:rPr>
          <w:lang w:val="en-US"/>
        </w:rPr>
        <w:t>is already supported for CSI-RS, hence</w:t>
      </w:r>
    </w:p>
    <w:p w14:paraId="7FB52787" w14:textId="7E6FE8F5" w:rsidR="001A16B4" w:rsidRPr="00437E11" w:rsidRDefault="00C133E1" w:rsidP="001A16B4">
      <w:pPr>
        <w:pStyle w:val="Proposal"/>
        <w:rPr>
          <w:lang w:val="en-US"/>
        </w:rPr>
      </w:pPr>
      <w:bookmarkStart w:id="13" w:name="_Toc506558804"/>
      <w:bookmarkStart w:id="14" w:name="_Toc506558839"/>
      <w:bookmarkStart w:id="15" w:name="_Toc506560691"/>
      <w:r>
        <w:rPr>
          <w:lang w:val="en-US"/>
        </w:rPr>
        <w:t>For periodic/semi-persistent CSI-RS/SRS, no further periodicities and slot offsets need to be defined for Rel-15.</w:t>
      </w:r>
      <w:bookmarkEnd w:id="13"/>
      <w:bookmarkEnd w:id="14"/>
      <w:bookmarkEnd w:id="15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Pr="00FB6138" w:rsidRDefault="003A0E41" w:rsidP="008E065E">
      <w:pPr>
        <w:pStyle w:val="BodyText"/>
      </w:pPr>
      <w:r w:rsidRPr="00FB6138">
        <w:t>In this contribution</w:t>
      </w:r>
      <w:r w:rsidR="00DC2639" w:rsidRPr="00FB6138">
        <w:t>,</w:t>
      </w:r>
      <w:r w:rsidRPr="00FB6138">
        <w:t xml:space="preserve"> we made the following ob</w:t>
      </w:r>
      <w:r w:rsidR="004033B5" w:rsidRPr="00FB6138">
        <w:t>s</w:t>
      </w:r>
      <w:r w:rsidRPr="00FB6138">
        <w:t>ervations</w:t>
      </w:r>
      <w:r w:rsidR="008E065E" w:rsidRPr="00FB6138">
        <w:t>:</w:t>
      </w:r>
    </w:p>
    <w:p w14:paraId="0A36C473" w14:textId="77777777" w:rsidR="00B0146C" w:rsidRDefault="00B01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\t "Observation,1" </w:instrText>
      </w:r>
      <w:r>
        <w:rPr>
          <w:b w:val="0"/>
          <w:bCs/>
        </w:rPr>
        <w:fldChar w:fldCharType="separate"/>
      </w:r>
      <w:r w:rsidRPr="002924AE"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2924AE">
        <w:t xml:space="preserve">Working assumption on sequence mapping does not support sharing of transmitted CSI-RS resource across density </w:t>
      </w:r>
      <m:oMath>
        <m:r>
          <m:rPr>
            <m:sty m:val="b"/>
          </m:rPr>
          <w:rPr>
            <w:rFonts w:ascii="Cambria Math" w:hAnsi="Cambria Math"/>
          </w:rPr>
          <m:t>ρ</m:t>
        </m:r>
      </m:oMath>
      <w:r w:rsidRPr="002924AE">
        <w:t xml:space="preserve"> =0.5 and </w:t>
      </w:r>
      <m:oMath>
        <m:r>
          <m:rPr>
            <m:sty m:val="b"/>
          </m:rPr>
          <w:rPr>
            <w:rFonts w:ascii="Cambria Math" w:hAnsi="Cambria Math"/>
          </w:rPr>
          <m:t>ρ</m:t>
        </m:r>
      </m:oMath>
      <w:r w:rsidRPr="002924AE">
        <w:t xml:space="preserve"> =1 for X=1. Such sharing would be enabled by an update of the formula according to example below.</w:t>
      </w:r>
    </w:p>
    <w:p w14:paraId="52E627AF" w14:textId="75250909" w:rsidR="002611E7" w:rsidRPr="00B0146C" w:rsidRDefault="00B0146C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46ABE4C" w14:textId="6F4E1FE2" w:rsidR="00B0146C" w:rsidRDefault="002611E7" w:rsidP="00DC2639">
      <w:pPr>
        <w:pStyle w:val="BodyText"/>
      </w:pPr>
      <w:r w:rsidRPr="00FB6138">
        <w:t>We make the following proposals:</w:t>
      </w:r>
    </w:p>
    <w:p w14:paraId="195A8934" w14:textId="77777777" w:rsidR="00B0146C" w:rsidRDefault="00B01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Pr="009F755B"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Extend the sequence mapping to allow sharing of transmitted CSI-RS resources across densities</w:t>
      </w:r>
      <m:oMath>
        <m:r>
          <m:rPr>
            <m:sty m:val="b"/>
          </m:rPr>
          <w:rPr>
            <w:rFonts w:ascii="Cambria Math" w:hAnsi="Cambria Math"/>
          </w:rPr>
          <m:t xml:space="preserve"> ρ</m:t>
        </m:r>
      </m:oMath>
      <w:r w:rsidRPr="009F755B">
        <w:t xml:space="preserve"> =0.5 and </w:t>
      </w:r>
      <m:oMath>
        <m:r>
          <m:rPr>
            <m:sty m:val="b"/>
          </m:rPr>
          <w:rPr>
            <w:rFonts w:ascii="Cambria Math" w:hAnsi="Cambria Math"/>
          </w:rPr>
          <m:t>ρ</m:t>
        </m:r>
      </m:oMath>
      <w:r w:rsidRPr="009F755B">
        <w:t xml:space="preserve"> =1 </w:t>
      </w:r>
      <w:r>
        <w:t>for both X = 1 and X &gt; 1 according to the text proposal below</w:t>
      </w:r>
    </w:p>
    <w:p w14:paraId="414E5A85" w14:textId="77777777" w:rsidR="00B0146C" w:rsidRDefault="00B01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cell-specific RRC configuration of DL/UL assignment, the configured DL/UL pattern duration (periodicity) shall divide 20 ms evenly. </w:t>
      </w:r>
      <w:r w:rsidRPr="009F755B">
        <w:rPr>
          <w:rFonts w:ascii="Cambria Math" w:hAnsi="Cambria Math"/>
        </w:rPr>
        <w:t xml:space="preserve">  - </w:t>
      </w:r>
      <w:r>
        <w:t>That is, if only one periodicity is configured, X shall divide 20 ms evenly. If two periodicities are configured, X+Y shall divide 20 ms evenly</w:t>
      </w:r>
      <w:r w:rsidRPr="009F755B">
        <w:rPr>
          <w:b w:val="0"/>
        </w:rPr>
        <w:t>.</w:t>
      </w:r>
    </w:p>
    <w:p w14:paraId="75F376DB" w14:textId="77777777" w:rsidR="00B0146C" w:rsidRDefault="00B014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F755B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F755B">
        <w:t>For periodic/semi-persistent CSI-RS/SRS, no further periodicities and slot offsets need to be defined for Rel-15.</w:t>
      </w:r>
    </w:p>
    <w:p w14:paraId="29D9DC20" w14:textId="2499C6C9" w:rsidR="00B0146C" w:rsidRDefault="00B0146C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FDAF2B4" w14:textId="1E927848" w:rsidR="00B0146C" w:rsidRPr="00437E11" w:rsidRDefault="00B0146C" w:rsidP="00437E11">
      <w:pPr>
        <w:pStyle w:val="BodyText"/>
        <w:rPr>
          <w:lang w:val="en-US"/>
        </w:rPr>
      </w:pPr>
      <w:r w:rsidRPr="00B906F7">
        <w:rPr>
          <w:highlight w:val="yellow"/>
        </w:rPr>
        <w:t>&gt;&gt;&gt;&gt;&gt;&gt;&gt;&gt;&gt;&gt;&gt;&gt;TEXT PROPOSAL (38.211) &lt;&lt;&lt;&lt;&lt;&lt;&lt;&lt;&lt;&lt;&lt;&lt;&lt;&lt;&lt;&lt;&lt;&lt;&lt;&lt;&lt;&lt;&lt;&lt;&lt;&lt;&lt;&lt;&lt;&lt;&lt;&lt;</w:t>
      </w:r>
    </w:p>
    <w:p w14:paraId="3D9DD176" w14:textId="77777777" w:rsidR="00B0146C" w:rsidRPr="00F82B5F" w:rsidRDefault="00893E80" w:rsidP="00B0146C">
      <w:pPr>
        <w:jc w:val="righ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p,u</m:t>
                  </m:r>
                </m:e>
              </m:d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CSIRS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∙w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s,f</m:t>
                  </m:r>
                </m:sub>
              </m:sSub>
            </m:sub>
            <m:sup/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</m:oMath>
      </m:oMathPara>
    </w:p>
    <w:p w14:paraId="6A796F43" w14:textId="77777777" w:rsidR="00B0146C" w:rsidRPr="00F82B5F" w:rsidRDefault="00B0146C" w:rsidP="00B0146C">
      <w:pPr>
        <w:jc w:val="right"/>
      </w:pPr>
      <m:oMathPara>
        <m:oMath>
          <m:r>
            <w:rPr>
              <w:rFonts w:ascii="Cambria Math" w:hAnsi="Cambria Math"/>
            </w:rPr>
            <m:t>k=n∙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+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k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4FAE3D8C" w14:textId="77777777" w:rsidR="00B0146C" w:rsidRPr="00F82B5F" w:rsidRDefault="00B0146C" w:rsidP="00B0146C">
      <w:pPr>
        <w:jc w:val="right"/>
      </w:pPr>
      <m:oMathPara>
        <m:oMath>
          <m:r>
            <w:rPr>
              <w:rFonts w:ascii="Cambria Math" w:hAnsi="Cambria Math"/>
            </w:rPr>
            <m:t>l=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l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l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6A7C0663" w14:textId="77777777" w:rsidR="00B0146C" w:rsidRPr="00F82B5F" w:rsidRDefault="00B0146C" w:rsidP="00B0146C">
      <w:pPr>
        <w:jc w:val="right"/>
      </w:pPr>
      <m:oMathPara>
        <m:oMath>
          <m:r>
            <w:rPr>
              <w:rFonts w:ascii="Cambria Math" w:hAnsi="Cambria Math"/>
            </w:rPr>
            <m:t>m=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n∙α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  <m:r>
                    <w:rPr>
                      <w:rFonts w:ascii="Cambria Math" w:hAnsi="Cambria Math"/>
                    </w:rPr>
                    <m:t>ρ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330DFEB3" w14:textId="77777777" w:rsidR="00B0146C" w:rsidRPr="008D2EDD" w:rsidRDefault="00B0146C" w:rsidP="00B0146C">
      <w:pPr>
        <w:jc w:val="right"/>
      </w:pPr>
      <m:oMathPara>
        <m:oMath>
          <m:r>
            <w:rPr>
              <w:rFonts w:ascii="Cambria Math" w:hAnsi="Cambria Math"/>
            </w:rPr>
            <m:t>α=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ρ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for 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X=1, ρ=3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3AF0E0BC" w14:textId="77777777" w:rsidR="00B0146C" w:rsidRPr="00F82B5F" w:rsidRDefault="00B0146C" w:rsidP="00B0146C">
      <w:pPr>
        <w:jc w:val="right"/>
      </w:pPr>
      <m:oMathPara>
        <m:oMath>
          <m:r>
            <w:rPr>
              <w:rFonts w:ascii="Cambria Math" w:hAnsi="Cambria Math"/>
            </w:rPr>
            <m:t>n=0,1,…</m:t>
          </m:r>
        </m:oMath>
      </m:oMathPara>
    </w:p>
    <w:p w14:paraId="45EA5F9E" w14:textId="77777777" w:rsidR="00B0146C" w:rsidRPr="00667E78" w:rsidRDefault="00B0146C" w:rsidP="00B0146C">
      <w:pPr>
        <w:jc w:val="right"/>
        <w:rPr>
          <w:color w:val="FF0000"/>
        </w:rPr>
      </w:pPr>
    </w:p>
    <w:p w14:paraId="3A6BD879" w14:textId="1A933BC1" w:rsidR="00B0146C" w:rsidRPr="00B0146C" w:rsidRDefault="00B0146C" w:rsidP="00B0146C">
      <w:r w:rsidRPr="00354010">
        <w:rPr>
          <w:highlight w:val="yellow"/>
        </w:rPr>
        <w:t>&gt;&gt;&gt;&gt;&gt;&gt;&gt;&gt;&gt;&gt;&gt;&gt;</w:t>
      </w:r>
      <w:r>
        <w:rPr>
          <w:highlight w:val="yellow"/>
        </w:rPr>
        <w:t xml:space="preserve"> </w:t>
      </w:r>
      <w:r w:rsidRPr="00354010">
        <w:rPr>
          <w:highlight w:val="yellow"/>
        </w:rPr>
        <w:t xml:space="preserve"> End text proposal </w:t>
      </w:r>
      <w:r>
        <w:rPr>
          <w:highlight w:val="yellow"/>
        </w:rPr>
        <w:t xml:space="preserve"> </w:t>
      </w:r>
      <w:r w:rsidRPr="00354010">
        <w:rPr>
          <w:highlight w:val="yellow"/>
        </w:rPr>
        <w:t>&gt;&gt;&gt;&gt;&gt;&gt;&gt;&gt;&gt;&gt;&gt;&gt;</w:t>
      </w:r>
    </w:p>
    <w:p w14:paraId="3F6AB1B5" w14:textId="77777777" w:rsidR="00C133E1" w:rsidRPr="00CE0424" w:rsidRDefault="00C133E1" w:rsidP="00C133E1">
      <w:pPr>
        <w:pStyle w:val="Heading1"/>
      </w:pPr>
      <w:r w:rsidRPr="00CE0424">
        <w:lastRenderedPageBreak/>
        <w:t>References</w:t>
      </w:r>
      <w:bookmarkStart w:id="16" w:name="_GoBack"/>
      <w:bookmarkEnd w:id="16"/>
    </w:p>
    <w:p w14:paraId="25CC3377" w14:textId="77777777" w:rsidR="00C133E1" w:rsidRDefault="00C133E1" w:rsidP="00C133E1">
      <w:pPr>
        <w:pStyle w:val="Reference"/>
      </w:pPr>
      <w:bookmarkStart w:id="17" w:name="_Ref506557732"/>
      <w:r>
        <w:t>R1-1802904, “Remaining issues of GC-PDCCH,” Ericsson, RAN1#92, February 2018.</w:t>
      </w:r>
      <w:bookmarkEnd w:id="17"/>
    </w:p>
    <w:p w14:paraId="25DF3300" w14:textId="77777777" w:rsidR="00C133E1" w:rsidRPr="00CE0424" w:rsidRDefault="00C133E1" w:rsidP="00C133E1">
      <w:pPr>
        <w:pStyle w:val="Reference"/>
      </w:pPr>
      <w:bookmarkStart w:id="18" w:name="_Ref506557735"/>
      <w:r>
        <w:t>R1-1802940, “Remaining details on synchronization signal,” Ericsson, RAN1#92, February 2018.</w:t>
      </w:r>
      <w:bookmarkEnd w:id="18"/>
    </w:p>
    <w:p w14:paraId="583C01F5" w14:textId="77777777" w:rsidR="00FB6138" w:rsidRPr="00B22552" w:rsidRDefault="00FB6138" w:rsidP="00C133E1">
      <w:pPr>
        <w:pStyle w:val="BodyText"/>
      </w:pPr>
    </w:p>
    <w:p w14:paraId="3BC9304B" w14:textId="79F2DD3B" w:rsidR="003A7EF3" w:rsidRPr="00CE0424" w:rsidRDefault="003A7EF3" w:rsidP="00FB6138">
      <w:pPr>
        <w:pStyle w:val="Reference"/>
        <w:numPr>
          <w:ilvl w:val="0"/>
          <w:numId w:val="0"/>
        </w:numPr>
        <w:ind w:left="567" w:hanging="567"/>
      </w:pPr>
      <w:bookmarkStart w:id="19" w:name="_In-sequence_SDU_delivery"/>
      <w:bookmarkEnd w:id="19"/>
    </w:p>
    <w:sectPr w:rsidR="003A7EF3" w:rsidRPr="00CE0424" w:rsidSect="00C02A4C">
      <w:headerReference w:type="even" r:id="rId27"/>
      <w:footerReference w:type="default" r:id="rId2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1406F" w14:textId="77777777" w:rsidR="00893E80" w:rsidRDefault="00893E80">
      <w:r>
        <w:separator/>
      </w:r>
    </w:p>
  </w:endnote>
  <w:endnote w:type="continuationSeparator" w:id="0">
    <w:p w14:paraId="46B1F3DB" w14:textId="77777777" w:rsidR="00893E80" w:rsidRDefault="0089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AEE8B3B" w:rsidR="00C133E1" w:rsidRDefault="00C133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7E1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7E1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D60C9" w14:textId="77777777" w:rsidR="00893E80" w:rsidRDefault="00893E80">
      <w:r>
        <w:separator/>
      </w:r>
    </w:p>
  </w:footnote>
  <w:footnote w:type="continuationSeparator" w:id="0">
    <w:p w14:paraId="3EF611F2" w14:textId="77777777" w:rsidR="00893E80" w:rsidRDefault="0089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C133E1" w:rsidRDefault="00C133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04862"/>
    <w:multiLevelType w:val="hybridMultilevel"/>
    <w:tmpl w:val="45B22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8"/>
  </w:num>
  <w:num w:numId="1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2E93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E8C"/>
    <w:rsid w:val="000C2E19"/>
    <w:rsid w:val="000C4C24"/>
    <w:rsid w:val="000C5331"/>
    <w:rsid w:val="000C5734"/>
    <w:rsid w:val="000D0D07"/>
    <w:rsid w:val="000D4797"/>
    <w:rsid w:val="000D4D2B"/>
    <w:rsid w:val="000E0527"/>
    <w:rsid w:val="000E1E92"/>
    <w:rsid w:val="000E6423"/>
    <w:rsid w:val="000F06D6"/>
    <w:rsid w:val="000F0EB1"/>
    <w:rsid w:val="000F1106"/>
    <w:rsid w:val="000F1BA2"/>
    <w:rsid w:val="000F3BE9"/>
    <w:rsid w:val="000F3F6C"/>
    <w:rsid w:val="000F6DF3"/>
    <w:rsid w:val="000F79E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56291"/>
    <w:rsid w:val="0016272D"/>
    <w:rsid w:val="001642D1"/>
    <w:rsid w:val="001659C1"/>
    <w:rsid w:val="00173A8E"/>
    <w:rsid w:val="0018143F"/>
    <w:rsid w:val="00185202"/>
    <w:rsid w:val="001868F8"/>
    <w:rsid w:val="00190AC1"/>
    <w:rsid w:val="0019341A"/>
    <w:rsid w:val="00197DF9"/>
    <w:rsid w:val="001A16B4"/>
    <w:rsid w:val="001A1987"/>
    <w:rsid w:val="001A2564"/>
    <w:rsid w:val="001A6173"/>
    <w:rsid w:val="001A6CBA"/>
    <w:rsid w:val="001A7776"/>
    <w:rsid w:val="001B0D97"/>
    <w:rsid w:val="001B5A5D"/>
    <w:rsid w:val="001C1CE5"/>
    <w:rsid w:val="001C21D1"/>
    <w:rsid w:val="001C3D2A"/>
    <w:rsid w:val="001D3AA2"/>
    <w:rsid w:val="001D51BA"/>
    <w:rsid w:val="001D6342"/>
    <w:rsid w:val="001D6D53"/>
    <w:rsid w:val="001E2560"/>
    <w:rsid w:val="001E432C"/>
    <w:rsid w:val="001E58E2"/>
    <w:rsid w:val="001E7AED"/>
    <w:rsid w:val="001F3916"/>
    <w:rsid w:val="001F3C28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3F47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DF6"/>
    <w:rsid w:val="00286ACD"/>
    <w:rsid w:val="00286B2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0DDA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28BD"/>
    <w:rsid w:val="00356A14"/>
    <w:rsid w:val="00357380"/>
    <w:rsid w:val="003602D9"/>
    <w:rsid w:val="003604CE"/>
    <w:rsid w:val="003675B1"/>
    <w:rsid w:val="00370E47"/>
    <w:rsid w:val="003742AC"/>
    <w:rsid w:val="00374ADB"/>
    <w:rsid w:val="00377CE1"/>
    <w:rsid w:val="00385BF0"/>
    <w:rsid w:val="00386439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3F9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37E11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A0"/>
    <w:rsid w:val="004A16BC"/>
    <w:rsid w:val="004A2B94"/>
    <w:rsid w:val="004B7C0C"/>
    <w:rsid w:val="004C3898"/>
    <w:rsid w:val="004C4AAB"/>
    <w:rsid w:val="004C65D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4B"/>
    <w:rsid w:val="00506557"/>
    <w:rsid w:val="0050677A"/>
    <w:rsid w:val="005108D8"/>
    <w:rsid w:val="005116F9"/>
    <w:rsid w:val="005153A7"/>
    <w:rsid w:val="005219CF"/>
    <w:rsid w:val="005233B7"/>
    <w:rsid w:val="00534B59"/>
    <w:rsid w:val="00536759"/>
    <w:rsid w:val="00537C62"/>
    <w:rsid w:val="00542D45"/>
    <w:rsid w:val="00546970"/>
    <w:rsid w:val="00554192"/>
    <w:rsid w:val="00554E19"/>
    <w:rsid w:val="00560B2C"/>
    <w:rsid w:val="0056121F"/>
    <w:rsid w:val="005703DB"/>
    <w:rsid w:val="00570CF0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E6EC4"/>
    <w:rsid w:val="005F2CB1"/>
    <w:rsid w:val="005F3025"/>
    <w:rsid w:val="005F618C"/>
    <w:rsid w:val="005F70BD"/>
    <w:rsid w:val="0060283C"/>
    <w:rsid w:val="00604F14"/>
    <w:rsid w:val="0061036E"/>
    <w:rsid w:val="00611B83"/>
    <w:rsid w:val="00613257"/>
    <w:rsid w:val="00617932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7F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7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18C"/>
    <w:rsid w:val="006A6585"/>
    <w:rsid w:val="006A697B"/>
    <w:rsid w:val="006A7A70"/>
    <w:rsid w:val="006A7AFF"/>
    <w:rsid w:val="006B1816"/>
    <w:rsid w:val="006B2099"/>
    <w:rsid w:val="006B2209"/>
    <w:rsid w:val="006B50CF"/>
    <w:rsid w:val="006C03B8"/>
    <w:rsid w:val="006C5EC9"/>
    <w:rsid w:val="006C6059"/>
    <w:rsid w:val="006C7522"/>
    <w:rsid w:val="006D1BC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2FD"/>
    <w:rsid w:val="006F19AE"/>
    <w:rsid w:val="006F1B70"/>
    <w:rsid w:val="006F341D"/>
    <w:rsid w:val="006F3CDE"/>
    <w:rsid w:val="006F567B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41FE"/>
    <w:rsid w:val="007755F2"/>
    <w:rsid w:val="00776971"/>
    <w:rsid w:val="00777466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5B0D"/>
    <w:rsid w:val="007B7374"/>
    <w:rsid w:val="007C05DD"/>
    <w:rsid w:val="007C3D18"/>
    <w:rsid w:val="007C60BF"/>
    <w:rsid w:val="007C6A07"/>
    <w:rsid w:val="007C75A1"/>
    <w:rsid w:val="007C77A5"/>
    <w:rsid w:val="007D04E5"/>
    <w:rsid w:val="007D35CC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E92"/>
    <w:rsid w:val="008376AC"/>
    <w:rsid w:val="0084020E"/>
    <w:rsid w:val="008444E8"/>
    <w:rsid w:val="00844E80"/>
    <w:rsid w:val="00846FE7"/>
    <w:rsid w:val="00852A79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E80"/>
    <w:rsid w:val="00894A88"/>
    <w:rsid w:val="00895386"/>
    <w:rsid w:val="008A21FF"/>
    <w:rsid w:val="008A2CE2"/>
    <w:rsid w:val="008A30AC"/>
    <w:rsid w:val="008A3852"/>
    <w:rsid w:val="008A44B8"/>
    <w:rsid w:val="008A5147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EDD"/>
    <w:rsid w:val="008D34F1"/>
    <w:rsid w:val="008D39D8"/>
    <w:rsid w:val="008D6D1A"/>
    <w:rsid w:val="008E0639"/>
    <w:rsid w:val="008E065E"/>
    <w:rsid w:val="008E0927"/>
    <w:rsid w:val="008E1909"/>
    <w:rsid w:val="008F1EAB"/>
    <w:rsid w:val="008F33DC"/>
    <w:rsid w:val="008F477F"/>
    <w:rsid w:val="00902350"/>
    <w:rsid w:val="0090336B"/>
    <w:rsid w:val="0090428F"/>
    <w:rsid w:val="009053AA"/>
    <w:rsid w:val="00906939"/>
    <w:rsid w:val="00910B7D"/>
    <w:rsid w:val="00911DFB"/>
    <w:rsid w:val="0091256D"/>
    <w:rsid w:val="009139D9"/>
    <w:rsid w:val="00914AD8"/>
    <w:rsid w:val="00916079"/>
    <w:rsid w:val="00917C47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3DBB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23FB"/>
    <w:rsid w:val="009F344F"/>
    <w:rsid w:val="00A031D8"/>
    <w:rsid w:val="00A048A8"/>
    <w:rsid w:val="00A04F49"/>
    <w:rsid w:val="00A13E54"/>
    <w:rsid w:val="00A15745"/>
    <w:rsid w:val="00A15BC9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2DAD"/>
    <w:rsid w:val="00AD3F94"/>
    <w:rsid w:val="00AD4A5A"/>
    <w:rsid w:val="00AE27AC"/>
    <w:rsid w:val="00AE2C74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146C"/>
    <w:rsid w:val="00B02AA9"/>
    <w:rsid w:val="00B02FA3"/>
    <w:rsid w:val="00B03374"/>
    <w:rsid w:val="00B05084"/>
    <w:rsid w:val="00B1415F"/>
    <w:rsid w:val="00B157F9"/>
    <w:rsid w:val="00B20256"/>
    <w:rsid w:val="00B20D09"/>
    <w:rsid w:val="00B22552"/>
    <w:rsid w:val="00B26190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254B"/>
    <w:rsid w:val="00B85DE5"/>
    <w:rsid w:val="00B906F7"/>
    <w:rsid w:val="00B90F73"/>
    <w:rsid w:val="00B929D8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C0"/>
    <w:rsid w:val="00C05706"/>
    <w:rsid w:val="00C07377"/>
    <w:rsid w:val="00C10478"/>
    <w:rsid w:val="00C12107"/>
    <w:rsid w:val="00C133E1"/>
    <w:rsid w:val="00C14D4B"/>
    <w:rsid w:val="00C154BB"/>
    <w:rsid w:val="00C16FE9"/>
    <w:rsid w:val="00C26A86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05C"/>
    <w:rsid w:val="00C75D2F"/>
    <w:rsid w:val="00C767BE"/>
    <w:rsid w:val="00C76E3C"/>
    <w:rsid w:val="00C81568"/>
    <w:rsid w:val="00C831A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226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F07"/>
    <w:rsid w:val="00D239A7"/>
    <w:rsid w:val="00D23F47"/>
    <w:rsid w:val="00D27B14"/>
    <w:rsid w:val="00D36E71"/>
    <w:rsid w:val="00D37D87"/>
    <w:rsid w:val="00D40B33"/>
    <w:rsid w:val="00D4318F"/>
    <w:rsid w:val="00D438BF"/>
    <w:rsid w:val="00D440F8"/>
    <w:rsid w:val="00D447E4"/>
    <w:rsid w:val="00D51369"/>
    <w:rsid w:val="00D546FF"/>
    <w:rsid w:val="00D55AD5"/>
    <w:rsid w:val="00D576CA"/>
    <w:rsid w:val="00D61AF5"/>
    <w:rsid w:val="00D652B5"/>
    <w:rsid w:val="00D66155"/>
    <w:rsid w:val="00D708B0"/>
    <w:rsid w:val="00D70B1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A58"/>
    <w:rsid w:val="00DB377D"/>
    <w:rsid w:val="00DC2639"/>
    <w:rsid w:val="00DC2D36"/>
    <w:rsid w:val="00DC53EF"/>
    <w:rsid w:val="00DC636C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3DF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EAD"/>
    <w:rsid w:val="00E46886"/>
    <w:rsid w:val="00E47AEF"/>
    <w:rsid w:val="00E53B75"/>
    <w:rsid w:val="00E54E3B"/>
    <w:rsid w:val="00E5689D"/>
    <w:rsid w:val="00E57565"/>
    <w:rsid w:val="00E63838"/>
    <w:rsid w:val="00E63AA1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44A4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B5F"/>
    <w:rsid w:val="00F8456C"/>
    <w:rsid w:val="00F859D8"/>
    <w:rsid w:val="00F868F5"/>
    <w:rsid w:val="00F8701D"/>
    <w:rsid w:val="00F9056A"/>
    <w:rsid w:val="00F90F8D"/>
    <w:rsid w:val="00F92782"/>
    <w:rsid w:val="00F93AA9"/>
    <w:rsid w:val="00F96985"/>
    <w:rsid w:val="00F97838"/>
    <w:rsid w:val="00FA2BB3"/>
    <w:rsid w:val="00FB3A7E"/>
    <w:rsid w:val="00FB4417"/>
    <w:rsid w:val="00FB4C80"/>
    <w:rsid w:val="00FB6138"/>
    <w:rsid w:val="00FB6A6A"/>
    <w:rsid w:val="00FC1BE6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7E1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37E1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37E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37E1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37E1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37E1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37E1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37E1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37E1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37E1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7E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7E11"/>
  </w:style>
  <w:style w:type="paragraph" w:styleId="TOC8">
    <w:name w:val="toc 8"/>
    <w:basedOn w:val="TOC1"/>
    <w:semiHidden/>
    <w:rsid w:val="00437E1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37E1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37E1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37E1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37E1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37E11"/>
    <w:pPr>
      <w:ind w:left="1418" w:hanging="1418"/>
    </w:pPr>
  </w:style>
  <w:style w:type="paragraph" w:styleId="TOC3">
    <w:name w:val="toc 3"/>
    <w:basedOn w:val="TOC2"/>
    <w:semiHidden/>
    <w:rsid w:val="00437E11"/>
    <w:pPr>
      <w:ind w:left="1134" w:hanging="1134"/>
    </w:pPr>
  </w:style>
  <w:style w:type="paragraph" w:styleId="TOC2">
    <w:name w:val="toc 2"/>
    <w:basedOn w:val="TOC1"/>
    <w:semiHidden/>
    <w:rsid w:val="00437E1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37E11"/>
    <w:pPr>
      <w:ind w:left="284"/>
    </w:pPr>
  </w:style>
  <w:style w:type="paragraph" w:styleId="Index1">
    <w:name w:val="index 1"/>
    <w:basedOn w:val="Normal"/>
    <w:semiHidden/>
    <w:rsid w:val="00437E11"/>
    <w:pPr>
      <w:keepLines/>
      <w:spacing w:after="0"/>
    </w:pPr>
  </w:style>
  <w:style w:type="paragraph" w:styleId="DocumentMap">
    <w:name w:val="Document Map"/>
    <w:basedOn w:val="Normal"/>
    <w:semiHidden/>
    <w:rsid w:val="00437E1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37E11"/>
    <w:pPr>
      <w:ind w:left="851"/>
    </w:pPr>
  </w:style>
  <w:style w:type="paragraph" w:styleId="ListNumber">
    <w:name w:val="List Number"/>
    <w:basedOn w:val="List"/>
    <w:rsid w:val="00437E11"/>
  </w:style>
  <w:style w:type="paragraph" w:styleId="List">
    <w:name w:val="List"/>
    <w:basedOn w:val="Normal"/>
    <w:rsid w:val="00437E11"/>
    <w:pPr>
      <w:ind w:left="568" w:hanging="284"/>
    </w:pPr>
  </w:style>
  <w:style w:type="paragraph" w:styleId="Header">
    <w:name w:val="header"/>
    <w:rsid w:val="00437E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37E1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37E1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37E1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37E11"/>
    <w:pPr>
      <w:ind w:left="1418" w:hanging="1418"/>
    </w:pPr>
  </w:style>
  <w:style w:type="paragraph" w:styleId="TOC6">
    <w:name w:val="toc 6"/>
    <w:basedOn w:val="TOC5"/>
    <w:next w:val="Normal"/>
    <w:semiHidden/>
    <w:rsid w:val="00437E11"/>
    <w:pPr>
      <w:ind w:left="1985" w:hanging="1985"/>
    </w:pPr>
  </w:style>
  <w:style w:type="paragraph" w:styleId="TOC7">
    <w:name w:val="toc 7"/>
    <w:basedOn w:val="TOC6"/>
    <w:next w:val="Normal"/>
    <w:semiHidden/>
    <w:rsid w:val="00437E11"/>
    <w:pPr>
      <w:ind w:left="2268" w:hanging="2268"/>
    </w:pPr>
  </w:style>
  <w:style w:type="paragraph" w:styleId="ListBullet2">
    <w:name w:val="List Bullet 2"/>
    <w:basedOn w:val="ListBullet"/>
    <w:rsid w:val="00437E11"/>
    <w:pPr>
      <w:numPr>
        <w:numId w:val="6"/>
      </w:numPr>
    </w:pPr>
  </w:style>
  <w:style w:type="paragraph" w:styleId="ListBullet">
    <w:name w:val="List Bullet"/>
    <w:basedOn w:val="BodyText"/>
    <w:rsid w:val="00437E11"/>
    <w:pPr>
      <w:numPr>
        <w:numId w:val="5"/>
      </w:numPr>
    </w:pPr>
  </w:style>
  <w:style w:type="paragraph" w:styleId="ListBullet3">
    <w:name w:val="List Bullet 3"/>
    <w:basedOn w:val="ListBullet2"/>
    <w:rsid w:val="00437E11"/>
    <w:pPr>
      <w:numPr>
        <w:numId w:val="7"/>
      </w:numPr>
    </w:pPr>
  </w:style>
  <w:style w:type="paragraph" w:customStyle="1" w:styleId="EQ">
    <w:name w:val="EQ"/>
    <w:basedOn w:val="Normal"/>
    <w:next w:val="Normal"/>
    <w:rsid w:val="00437E1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37E11"/>
    <w:pPr>
      <w:ind w:left="851"/>
    </w:pPr>
  </w:style>
  <w:style w:type="paragraph" w:styleId="List3">
    <w:name w:val="List 3"/>
    <w:basedOn w:val="List2"/>
    <w:rsid w:val="00437E11"/>
    <w:pPr>
      <w:ind w:left="1135"/>
    </w:pPr>
  </w:style>
  <w:style w:type="paragraph" w:styleId="List4">
    <w:name w:val="List 4"/>
    <w:basedOn w:val="List3"/>
    <w:rsid w:val="00437E11"/>
    <w:pPr>
      <w:ind w:left="1418"/>
    </w:pPr>
  </w:style>
  <w:style w:type="paragraph" w:styleId="List5">
    <w:name w:val="List 5"/>
    <w:basedOn w:val="List4"/>
    <w:rsid w:val="00437E11"/>
    <w:pPr>
      <w:ind w:left="1702"/>
    </w:pPr>
  </w:style>
  <w:style w:type="paragraph" w:customStyle="1" w:styleId="EditorsNote">
    <w:name w:val="Editor's Note"/>
    <w:basedOn w:val="Normal"/>
    <w:rsid w:val="00437E1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37E11"/>
    <w:pPr>
      <w:numPr>
        <w:numId w:val="8"/>
      </w:numPr>
    </w:pPr>
  </w:style>
  <w:style w:type="paragraph" w:styleId="ListBullet5">
    <w:name w:val="List Bullet 5"/>
    <w:basedOn w:val="ListBullet4"/>
    <w:rsid w:val="00437E11"/>
    <w:pPr>
      <w:numPr>
        <w:numId w:val="4"/>
      </w:numPr>
    </w:pPr>
  </w:style>
  <w:style w:type="paragraph" w:styleId="Footer">
    <w:name w:val="footer"/>
    <w:basedOn w:val="Header"/>
    <w:semiHidden/>
    <w:rsid w:val="00437E1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37E11"/>
    <w:pPr>
      <w:numPr>
        <w:numId w:val="2"/>
      </w:numPr>
    </w:pPr>
  </w:style>
  <w:style w:type="paragraph" w:styleId="BalloonText">
    <w:name w:val="Balloon Text"/>
    <w:basedOn w:val="Normal"/>
    <w:semiHidden/>
    <w:rsid w:val="00437E1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37E11"/>
  </w:style>
  <w:style w:type="paragraph" w:styleId="BodyText">
    <w:name w:val="Body Text"/>
    <w:basedOn w:val="Normal"/>
    <w:link w:val="BodyTextChar"/>
    <w:qFormat/>
    <w:rsid w:val="00437E11"/>
  </w:style>
  <w:style w:type="character" w:styleId="Hyperlink">
    <w:name w:val="Hyperlink"/>
    <w:uiPriority w:val="99"/>
    <w:rsid w:val="00437E11"/>
    <w:rPr>
      <w:color w:val="0000FF"/>
      <w:u w:val="single"/>
      <w:lang w:val="en-GB"/>
    </w:rPr>
  </w:style>
  <w:style w:type="character" w:styleId="FollowedHyperlink">
    <w:name w:val="FollowedHyperlink"/>
    <w:semiHidden/>
    <w:rsid w:val="00437E11"/>
    <w:rPr>
      <w:color w:val="FF0000"/>
      <w:u w:val="single"/>
    </w:rPr>
  </w:style>
  <w:style w:type="character" w:styleId="CommentReference">
    <w:name w:val="annotation reference"/>
    <w:semiHidden/>
    <w:rsid w:val="00437E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7E11"/>
  </w:style>
  <w:style w:type="paragraph" w:styleId="CommentSubject">
    <w:name w:val="annotation subject"/>
    <w:basedOn w:val="CommentText"/>
    <w:next w:val="CommentText"/>
    <w:semiHidden/>
    <w:rsid w:val="00437E11"/>
    <w:rPr>
      <w:b/>
      <w:bCs/>
    </w:rPr>
  </w:style>
  <w:style w:type="character" w:customStyle="1" w:styleId="Heading1Char">
    <w:name w:val="Heading 1 Char"/>
    <w:link w:val="Heading1"/>
    <w:rsid w:val="00437E1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437E1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37E1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37E1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37E1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37E1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37E1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37E1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37E1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37E11"/>
    <w:pPr>
      <w:spacing w:after="0"/>
    </w:pPr>
  </w:style>
  <w:style w:type="paragraph" w:customStyle="1" w:styleId="TAL">
    <w:name w:val="TAL"/>
    <w:basedOn w:val="Normal"/>
    <w:rsid w:val="00437E1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37E11"/>
    <w:pPr>
      <w:jc w:val="center"/>
    </w:pPr>
  </w:style>
  <w:style w:type="paragraph" w:customStyle="1" w:styleId="TAH">
    <w:name w:val="TAH"/>
    <w:basedOn w:val="TAC"/>
    <w:rsid w:val="00437E11"/>
    <w:rPr>
      <w:b/>
    </w:rPr>
  </w:style>
  <w:style w:type="paragraph" w:customStyle="1" w:styleId="TAN">
    <w:name w:val="TAN"/>
    <w:basedOn w:val="TAL"/>
    <w:rsid w:val="00437E11"/>
    <w:pPr>
      <w:ind w:left="851" w:hanging="851"/>
    </w:pPr>
  </w:style>
  <w:style w:type="paragraph" w:customStyle="1" w:styleId="TAR">
    <w:name w:val="TAR"/>
    <w:basedOn w:val="TAL"/>
    <w:rsid w:val="00437E11"/>
    <w:pPr>
      <w:jc w:val="right"/>
    </w:pPr>
  </w:style>
  <w:style w:type="paragraph" w:customStyle="1" w:styleId="TH">
    <w:name w:val="TH"/>
    <w:basedOn w:val="Normal"/>
    <w:rsid w:val="00437E1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37E1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37E1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37E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7E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7E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37E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37E11"/>
  </w:style>
  <w:style w:type="paragraph" w:customStyle="1" w:styleId="ZH">
    <w:name w:val="ZH"/>
    <w:rsid w:val="00437E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37E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37E1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37E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7E11"/>
    <w:pPr>
      <w:framePr w:wrap="notBeside" w:y="16161"/>
    </w:pPr>
  </w:style>
  <w:style w:type="paragraph" w:customStyle="1" w:styleId="FP">
    <w:name w:val="FP"/>
    <w:basedOn w:val="Normal"/>
    <w:rsid w:val="00437E1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37E1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37E11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37E11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D2DAD"/>
    <w:rPr>
      <w:color w:val="808080"/>
    </w:rPr>
  </w:style>
  <w:style w:type="character" w:customStyle="1" w:styleId="CommentTextChar">
    <w:name w:val="Comment Text Char"/>
    <w:link w:val="CommentText"/>
    <w:rsid w:val="00C133E1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5.emf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338769-9725-465A-BEAD-9940C865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820</TotalTime>
  <Pages>6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59</cp:revision>
  <cp:lastPrinted>2008-01-31T15:09:00Z</cp:lastPrinted>
  <dcterms:created xsi:type="dcterms:W3CDTF">2018-02-06T08:18:00Z</dcterms:created>
  <dcterms:modified xsi:type="dcterms:W3CDTF">2018-02-17T00:12:00Z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